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6E51" w14:textId="1BC83CB6" w:rsidR="004805E7" w:rsidRPr="001B1915" w:rsidRDefault="00FF0D37" w:rsidP="001B1915">
      <w:pPr>
        <w:spacing w:after="120" w:line="240" w:lineRule="auto"/>
        <w:ind w:left="317"/>
        <w:jc w:val="center"/>
        <w:rPr>
          <w:b/>
          <w:sz w:val="24"/>
          <w:szCs w:val="24"/>
        </w:rPr>
      </w:pPr>
      <w:bookmarkStart w:id="0" w:name="_GoBack"/>
      <w:bookmarkEnd w:id="0"/>
      <w:r w:rsidRPr="001B1915">
        <w:rPr>
          <w:b/>
          <w:sz w:val="24"/>
          <w:szCs w:val="24"/>
        </w:rPr>
        <w:t xml:space="preserve">Domains </w:t>
      </w:r>
      <w:r w:rsidR="00EC5B80" w:rsidRPr="001B1915">
        <w:rPr>
          <w:b/>
          <w:sz w:val="24"/>
          <w:szCs w:val="24"/>
        </w:rPr>
        <w:t>I</w:t>
      </w:r>
      <w:r w:rsidRPr="001B1915">
        <w:rPr>
          <w:b/>
          <w:sz w:val="24"/>
          <w:szCs w:val="24"/>
        </w:rPr>
        <w:t xml:space="preserve">ncluded in the Race, </w:t>
      </w:r>
      <w:r w:rsidR="00EC5B80" w:rsidRPr="001B1915">
        <w:rPr>
          <w:b/>
          <w:sz w:val="24"/>
          <w:szCs w:val="24"/>
        </w:rPr>
        <w:t>E</w:t>
      </w:r>
      <w:r w:rsidRPr="001B1915">
        <w:rPr>
          <w:b/>
          <w:sz w:val="24"/>
          <w:szCs w:val="24"/>
        </w:rPr>
        <w:t xml:space="preserve">thnicity, </w:t>
      </w:r>
      <w:r w:rsidR="00EC5B80" w:rsidRPr="001B1915">
        <w:rPr>
          <w:b/>
          <w:sz w:val="24"/>
          <w:szCs w:val="24"/>
        </w:rPr>
        <w:t>S</w:t>
      </w:r>
      <w:r w:rsidRPr="001B1915">
        <w:rPr>
          <w:b/>
          <w:sz w:val="24"/>
          <w:szCs w:val="24"/>
        </w:rPr>
        <w:t xml:space="preserve">ocioeconomic </w:t>
      </w:r>
      <w:r w:rsidR="00EC5B80" w:rsidRPr="001B1915">
        <w:rPr>
          <w:b/>
          <w:sz w:val="24"/>
          <w:szCs w:val="24"/>
        </w:rPr>
        <w:t>S</w:t>
      </w:r>
      <w:r w:rsidRPr="001B1915">
        <w:rPr>
          <w:b/>
          <w:sz w:val="24"/>
          <w:szCs w:val="24"/>
        </w:rPr>
        <w:t xml:space="preserve">tatus, and </w:t>
      </w:r>
      <w:r w:rsidR="00EC5B80" w:rsidRPr="001B1915">
        <w:rPr>
          <w:b/>
          <w:sz w:val="24"/>
          <w:szCs w:val="24"/>
        </w:rPr>
        <w:t>O</w:t>
      </w:r>
      <w:r w:rsidRPr="001B1915">
        <w:rPr>
          <w:b/>
          <w:sz w:val="24"/>
          <w:szCs w:val="24"/>
        </w:rPr>
        <w:t xml:space="preserve">ther </w:t>
      </w:r>
      <w:r w:rsidR="00EC5B80" w:rsidRPr="001B1915">
        <w:rPr>
          <w:b/>
          <w:sz w:val="24"/>
          <w:szCs w:val="24"/>
        </w:rPr>
        <w:t>D</w:t>
      </w:r>
      <w:r w:rsidRPr="001B1915">
        <w:rPr>
          <w:b/>
          <w:sz w:val="24"/>
          <w:szCs w:val="24"/>
        </w:rPr>
        <w:t xml:space="preserve">emographic </w:t>
      </w:r>
      <w:r w:rsidR="00EC5B80" w:rsidRPr="001B1915">
        <w:rPr>
          <w:b/>
          <w:sz w:val="24"/>
          <w:szCs w:val="24"/>
        </w:rPr>
        <w:t>C</w:t>
      </w:r>
      <w:r w:rsidRPr="001B1915">
        <w:rPr>
          <w:b/>
          <w:sz w:val="24"/>
          <w:szCs w:val="24"/>
        </w:rPr>
        <w:t>haracteristics</w:t>
      </w:r>
      <w:r w:rsidR="00EC5B80" w:rsidRPr="001B1915">
        <w:rPr>
          <w:b/>
          <w:sz w:val="24"/>
          <w:szCs w:val="24"/>
        </w:rPr>
        <w:t xml:space="preserve"> Survey, Rationale for Each, and Domains Remaining to be Operationalized  </w:t>
      </w:r>
    </w:p>
    <w:tbl>
      <w:tblPr>
        <w:tblStyle w:val="TableGrid0"/>
        <w:tblW w:w="10975" w:type="dxa"/>
        <w:tblLook w:val="04A0" w:firstRow="1" w:lastRow="0" w:firstColumn="1" w:lastColumn="0" w:noHBand="0" w:noVBand="1"/>
      </w:tblPr>
      <w:tblGrid>
        <w:gridCol w:w="2785"/>
        <w:gridCol w:w="5130"/>
        <w:gridCol w:w="3060"/>
      </w:tblGrid>
      <w:tr w:rsidR="00EC67C3" w14:paraId="7F3C01E2" w14:textId="77777777" w:rsidTr="002A162E">
        <w:trPr>
          <w:cantSplit/>
          <w:tblHeader/>
        </w:trPr>
        <w:tc>
          <w:tcPr>
            <w:tcW w:w="2785" w:type="dxa"/>
            <w:tcBorders>
              <w:bottom w:val="double" w:sz="4" w:space="0" w:color="auto"/>
            </w:tcBorders>
            <w:vAlign w:val="bottom"/>
          </w:tcPr>
          <w:p w14:paraId="7B71E6C3" w14:textId="51888049" w:rsidR="00EC67C3" w:rsidRPr="00E3128C" w:rsidRDefault="00EC67C3" w:rsidP="0010376C">
            <w:pPr>
              <w:jc w:val="center"/>
              <w:rPr>
                <w:b/>
                <w:sz w:val="24"/>
                <w:szCs w:val="24"/>
              </w:rPr>
            </w:pPr>
            <w:r w:rsidRPr="00E3128C">
              <w:rPr>
                <w:b/>
                <w:sz w:val="24"/>
                <w:szCs w:val="24"/>
              </w:rPr>
              <w:t>Concept/</w:t>
            </w:r>
            <w:r w:rsidR="0010376C" w:rsidRPr="00E3128C">
              <w:rPr>
                <w:b/>
                <w:sz w:val="24"/>
                <w:szCs w:val="24"/>
              </w:rPr>
              <w:t>Subd</w:t>
            </w:r>
            <w:r w:rsidRPr="00E3128C">
              <w:rPr>
                <w:b/>
                <w:sz w:val="24"/>
                <w:szCs w:val="24"/>
              </w:rPr>
              <w:t>omains Included in Survey</w:t>
            </w:r>
          </w:p>
        </w:tc>
        <w:tc>
          <w:tcPr>
            <w:tcW w:w="5130" w:type="dxa"/>
            <w:tcBorders>
              <w:bottom w:val="double" w:sz="4" w:space="0" w:color="auto"/>
            </w:tcBorders>
            <w:vAlign w:val="bottom"/>
          </w:tcPr>
          <w:p w14:paraId="5BAED308" w14:textId="4DBC23D7" w:rsidR="00EC67C3" w:rsidRPr="00E3128C" w:rsidRDefault="00EC67C3" w:rsidP="001A1742">
            <w:pPr>
              <w:jc w:val="center"/>
              <w:rPr>
                <w:b/>
                <w:sz w:val="24"/>
                <w:szCs w:val="24"/>
              </w:rPr>
            </w:pPr>
            <w:r w:rsidRPr="00E3128C">
              <w:rPr>
                <w:b/>
                <w:sz w:val="24"/>
                <w:szCs w:val="24"/>
              </w:rPr>
              <w:t>Rationale</w:t>
            </w:r>
          </w:p>
        </w:tc>
        <w:tc>
          <w:tcPr>
            <w:tcW w:w="3060" w:type="dxa"/>
            <w:tcBorders>
              <w:bottom w:val="double" w:sz="4" w:space="0" w:color="auto"/>
            </w:tcBorders>
            <w:vAlign w:val="bottom"/>
          </w:tcPr>
          <w:p w14:paraId="5CE2AE0D" w14:textId="45B7DC80" w:rsidR="00EC67C3" w:rsidRPr="00E3128C" w:rsidRDefault="00EC67C3" w:rsidP="001A1742">
            <w:pPr>
              <w:jc w:val="center"/>
              <w:rPr>
                <w:b/>
                <w:sz w:val="24"/>
                <w:szCs w:val="24"/>
              </w:rPr>
            </w:pPr>
            <w:r w:rsidRPr="00E3128C">
              <w:rPr>
                <w:b/>
                <w:sz w:val="24"/>
                <w:szCs w:val="24"/>
              </w:rPr>
              <w:t>Domains Remaining to be Operationalized</w:t>
            </w:r>
          </w:p>
        </w:tc>
      </w:tr>
      <w:tr w:rsidR="002A162E" w14:paraId="5471BFF6" w14:textId="77777777" w:rsidTr="002A162E">
        <w:trPr>
          <w:cantSplit/>
        </w:trPr>
        <w:tc>
          <w:tcPr>
            <w:tcW w:w="10975" w:type="dxa"/>
            <w:gridSpan w:val="3"/>
            <w:tcBorders>
              <w:top w:val="double" w:sz="4" w:space="0" w:color="auto"/>
            </w:tcBorders>
            <w:shd w:val="clear" w:color="auto" w:fill="E7E6E6" w:themeFill="background2"/>
          </w:tcPr>
          <w:p w14:paraId="4C9D9534" w14:textId="7389C056" w:rsidR="002A162E" w:rsidRDefault="002A162E" w:rsidP="002A162E">
            <w:pPr>
              <w:spacing w:before="60" w:after="60"/>
              <w:rPr>
                <w:sz w:val="29"/>
              </w:rPr>
            </w:pPr>
            <w:r w:rsidRPr="00EC67C3">
              <w:rPr>
                <w:b/>
                <w:sz w:val="24"/>
                <w:szCs w:val="24"/>
              </w:rPr>
              <w:t>Age</w:t>
            </w:r>
          </w:p>
        </w:tc>
      </w:tr>
      <w:tr w:rsidR="00EC67C3" w14:paraId="7F600A6F" w14:textId="77777777" w:rsidTr="002A162E">
        <w:trPr>
          <w:cantSplit/>
        </w:trPr>
        <w:tc>
          <w:tcPr>
            <w:tcW w:w="2785" w:type="dxa"/>
            <w:tcBorders>
              <w:bottom w:val="single" w:sz="4" w:space="0" w:color="auto"/>
            </w:tcBorders>
          </w:tcPr>
          <w:p w14:paraId="0D36A4DF" w14:textId="3D23AD1E" w:rsidR="00EC67C3" w:rsidRDefault="00EC67C3" w:rsidP="00A5051F">
            <w:pPr>
              <w:pStyle w:val="ListParagraph"/>
              <w:numPr>
                <w:ilvl w:val="0"/>
                <w:numId w:val="1"/>
              </w:numPr>
              <w:ind w:left="360" w:right="189"/>
              <w:rPr>
                <w:sz w:val="20"/>
              </w:rPr>
            </w:pPr>
            <w:r w:rsidRPr="001A1742">
              <w:rPr>
                <w:sz w:val="20"/>
              </w:rPr>
              <w:t>Date of birth</w:t>
            </w:r>
          </w:p>
          <w:p w14:paraId="62CD26FE" w14:textId="37A06499" w:rsidR="00EC67C3" w:rsidRPr="00A5051F" w:rsidRDefault="00EC67C3" w:rsidP="00A5051F">
            <w:pPr>
              <w:pStyle w:val="ListParagraph"/>
              <w:numPr>
                <w:ilvl w:val="0"/>
                <w:numId w:val="1"/>
              </w:numPr>
              <w:ind w:left="360" w:right="189"/>
              <w:rPr>
                <w:sz w:val="20"/>
              </w:rPr>
            </w:pPr>
            <w:r>
              <w:rPr>
                <w:sz w:val="20"/>
              </w:rPr>
              <w:t>Age</w:t>
            </w:r>
          </w:p>
        </w:tc>
        <w:tc>
          <w:tcPr>
            <w:tcW w:w="5130" w:type="dxa"/>
            <w:tcBorders>
              <w:bottom w:val="single" w:sz="4" w:space="0" w:color="auto"/>
            </w:tcBorders>
          </w:tcPr>
          <w:p w14:paraId="735DD675" w14:textId="65FEBAB3" w:rsidR="00EC67C3" w:rsidRDefault="00EC67C3" w:rsidP="001A1742">
            <w:pPr>
              <w:rPr>
                <w:sz w:val="29"/>
              </w:rPr>
            </w:pPr>
            <w:r>
              <w:rPr>
                <w:sz w:val="20"/>
              </w:rPr>
              <w:t xml:space="preserve">Assessing date of birth tends to be more accurate than asking age.  We use both and recommend cross validating and correcting inconsistencies at the time of the survey. </w:t>
            </w:r>
          </w:p>
        </w:tc>
        <w:tc>
          <w:tcPr>
            <w:tcW w:w="3060" w:type="dxa"/>
            <w:tcBorders>
              <w:bottom w:val="single" w:sz="4" w:space="0" w:color="auto"/>
            </w:tcBorders>
          </w:tcPr>
          <w:p w14:paraId="71F92DD4" w14:textId="77777777" w:rsidR="00EC67C3" w:rsidRDefault="00EC67C3" w:rsidP="001A1742">
            <w:pPr>
              <w:jc w:val="center"/>
              <w:rPr>
                <w:sz w:val="29"/>
              </w:rPr>
            </w:pPr>
          </w:p>
        </w:tc>
      </w:tr>
      <w:tr w:rsidR="002A162E" w:rsidRPr="002A162E" w14:paraId="60182A7B" w14:textId="77777777" w:rsidTr="002A162E">
        <w:trPr>
          <w:cantSplit/>
        </w:trPr>
        <w:tc>
          <w:tcPr>
            <w:tcW w:w="10975" w:type="dxa"/>
            <w:gridSpan w:val="3"/>
            <w:shd w:val="clear" w:color="auto" w:fill="E7E6E6" w:themeFill="background2"/>
          </w:tcPr>
          <w:p w14:paraId="6A191A70" w14:textId="70ED8890" w:rsidR="002A162E" w:rsidRPr="00EC5B80" w:rsidRDefault="002A162E" w:rsidP="002A162E">
            <w:pPr>
              <w:spacing w:before="60" w:after="60"/>
              <w:rPr>
                <w:b/>
                <w:sz w:val="24"/>
                <w:szCs w:val="24"/>
              </w:rPr>
            </w:pPr>
            <w:r>
              <w:rPr>
                <w:b/>
                <w:sz w:val="24"/>
                <w:szCs w:val="24"/>
              </w:rPr>
              <w:t>Race/ethnicity (S</w:t>
            </w:r>
            <w:r w:rsidRPr="00EC67C3">
              <w:rPr>
                <w:b/>
                <w:sz w:val="24"/>
                <w:szCs w:val="24"/>
              </w:rPr>
              <w:t>elf-identified)</w:t>
            </w:r>
          </w:p>
        </w:tc>
      </w:tr>
      <w:tr w:rsidR="00EC67C3" w14:paraId="02113733" w14:textId="77777777" w:rsidTr="003F7C21">
        <w:trPr>
          <w:cantSplit/>
        </w:trPr>
        <w:tc>
          <w:tcPr>
            <w:tcW w:w="2785" w:type="dxa"/>
          </w:tcPr>
          <w:p w14:paraId="39C94BA7" w14:textId="235A47DD" w:rsidR="00EC67C3" w:rsidRPr="00A5051F" w:rsidRDefault="00EC67C3" w:rsidP="0010376C">
            <w:pPr>
              <w:pStyle w:val="ListParagraph"/>
              <w:numPr>
                <w:ilvl w:val="0"/>
                <w:numId w:val="1"/>
              </w:numPr>
              <w:ind w:left="360" w:right="189"/>
              <w:rPr>
                <w:sz w:val="20"/>
              </w:rPr>
            </w:pPr>
            <w:r w:rsidRPr="001A1742">
              <w:rPr>
                <w:sz w:val="20"/>
              </w:rPr>
              <w:t xml:space="preserve">Main group or multiethnic </w:t>
            </w:r>
          </w:p>
        </w:tc>
        <w:tc>
          <w:tcPr>
            <w:tcW w:w="5130" w:type="dxa"/>
          </w:tcPr>
          <w:p w14:paraId="7A6826EC" w14:textId="133EE961" w:rsidR="00EC67C3" w:rsidRDefault="00EC67C3" w:rsidP="0010376C">
            <w:pPr>
              <w:spacing w:after="120"/>
              <w:rPr>
                <w:sz w:val="29"/>
              </w:rPr>
            </w:pPr>
            <w:r>
              <w:rPr>
                <w:sz w:val="20"/>
              </w:rPr>
              <w:t xml:space="preserve">We use groupings defined by the U.S. Census </w:t>
            </w:r>
            <w:r w:rsidR="00FF0D37">
              <w:rPr>
                <w:sz w:val="20"/>
              </w:rPr>
              <w:t xml:space="preserve">(2010) </w:t>
            </w:r>
            <w:r>
              <w:rPr>
                <w:sz w:val="20"/>
              </w:rPr>
              <w:t xml:space="preserve">with some adaptations.  Latino/Hispanic </w:t>
            </w:r>
            <w:proofErr w:type="gramStart"/>
            <w:r>
              <w:rPr>
                <w:sz w:val="20"/>
              </w:rPr>
              <w:t xml:space="preserve">should be </w:t>
            </w:r>
            <w:r w:rsidR="001B1915">
              <w:rPr>
                <w:sz w:val="20"/>
              </w:rPr>
              <w:t>conceptualized</w:t>
            </w:r>
            <w:proofErr w:type="gramEnd"/>
            <w:r w:rsidR="001B1915">
              <w:rPr>
                <w:sz w:val="20"/>
              </w:rPr>
              <w:t xml:space="preserve"> </w:t>
            </w:r>
            <w:r>
              <w:rPr>
                <w:sz w:val="20"/>
              </w:rPr>
              <w:t xml:space="preserve">as one ethnic group rather than as “ethnicity” independent from race.  </w:t>
            </w:r>
            <w:r w:rsidR="00EC5B80">
              <w:rPr>
                <w:sz w:val="20"/>
              </w:rPr>
              <w:t>We supplemented U.S. Census terminology by adding popular alternatives of ethnic labels to increase recognition by respondents and acceptability (e.g., African American/Black).</w:t>
            </w:r>
          </w:p>
        </w:tc>
        <w:tc>
          <w:tcPr>
            <w:tcW w:w="3060" w:type="dxa"/>
          </w:tcPr>
          <w:p w14:paraId="08AA2319" w14:textId="377F2279" w:rsidR="00EC67C3" w:rsidRPr="00A5051F" w:rsidRDefault="00EC67C3" w:rsidP="0010376C">
            <w:pPr>
              <w:pStyle w:val="ListParagraph"/>
              <w:numPr>
                <w:ilvl w:val="0"/>
                <w:numId w:val="1"/>
              </w:numPr>
              <w:ind w:left="360" w:right="189"/>
              <w:rPr>
                <w:sz w:val="20"/>
              </w:rPr>
            </w:pPr>
            <w:r>
              <w:rPr>
                <w:sz w:val="20"/>
              </w:rPr>
              <w:t xml:space="preserve">Culture, religion, and other variables closely associated with race/ethnicity.  </w:t>
            </w:r>
          </w:p>
        </w:tc>
      </w:tr>
      <w:tr w:rsidR="0010376C" w14:paraId="1B0238FC" w14:textId="77777777" w:rsidTr="003F7C21">
        <w:trPr>
          <w:cantSplit/>
        </w:trPr>
        <w:tc>
          <w:tcPr>
            <w:tcW w:w="2785" w:type="dxa"/>
          </w:tcPr>
          <w:p w14:paraId="691C465C" w14:textId="35E17269" w:rsidR="0010376C" w:rsidRPr="001A1742" w:rsidRDefault="0010376C" w:rsidP="00A5051F">
            <w:pPr>
              <w:pStyle w:val="ListParagraph"/>
              <w:numPr>
                <w:ilvl w:val="0"/>
                <w:numId w:val="1"/>
              </w:numPr>
              <w:ind w:left="360" w:right="189"/>
              <w:rPr>
                <w:sz w:val="20"/>
              </w:rPr>
            </w:pPr>
            <w:r w:rsidRPr="001A1742">
              <w:rPr>
                <w:sz w:val="20"/>
              </w:rPr>
              <w:t>If Latino/Hispanic</w:t>
            </w:r>
            <w:r>
              <w:rPr>
                <w:sz w:val="20"/>
              </w:rPr>
              <w:t xml:space="preserve"> or</w:t>
            </w:r>
            <w:r w:rsidRPr="001A1742">
              <w:rPr>
                <w:sz w:val="20"/>
              </w:rPr>
              <w:t xml:space="preserve"> Asian, query </w:t>
            </w:r>
            <w:r>
              <w:rPr>
                <w:sz w:val="20"/>
              </w:rPr>
              <w:t>national origin group</w:t>
            </w:r>
          </w:p>
        </w:tc>
        <w:tc>
          <w:tcPr>
            <w:tcW w:w="5130" w:type="dxa"/>
          </w:tcPr>
          <w:p w14:paraId="7CC439AD" w14:textId="408D994D" w:rsidR="0010376C" w:rsidRDefault="0010376C" w:rsidP="003F7C21">
            <w:pPr>
              <w:spacing w:after="120"/>
              <w:rPr>
                <w:sz w:val="20"/>
              </w:rPr>
            </w:pPr>
            <w:r>
              <w:rPr>
                <w:sz w:val="20"/>
              </w:rPr>
              <w:t xml:space="preserve">We ask about national origin separately (see below).  For those reporting being Latino or Asian, ethnic national origin describes membership within a larger ethnic group, and allows analysis of data by national origin.  </w:t>
            </w:r>
          </w:p>
        </w:tc>
        <w:tc>
          <w:tcPr>
            <w:tcW w:w="3060" w:type="dxa"/>
          </w:tcPr>
          <w:p w14:paraId="1805A000" w14:textId="77777777" w:rsidR="0010376C" w:rsidRPr="00A5051F" w:rsidRDefault="0010376C" w:rsidP="0010376C">
            <w:pPr>
              <w:pStyle w:val="ListParagraph"/>
              <w:numPr>
                <w:ilvl w:val="0"/>
                <w:numId w:val="1"/>
              </w:numPr>
              <w:ind w:left="360" w:right="189"/>
              <w:rPr>
                <w:sz w:val="20"/>
              </w:rPr>
            </w:pPr>
            <w:r>
              <w:rPr>
                <w:sz w:val="20"/>
              </w:rPr>
              <w:t xml:space="preserve">National origin groups need to </w:t>
            </w:r>
            <w:proofErr w:type="gramStart"/>
            <w:r>
              <w:rPr>
                <w:sz w:val="20"/>
              </w:rPr>
              <w:t>be developed</w:t>
            </w:r>
            <w:proofErr w:type="gramEnd"/>
            <w:r>
              <w:rPr>
                <w:sz w:val="20"/>
              </w:rPr>
              <w:t xml:space="preserve"> for other groups.  </w:t>
            </w:r>
          </w:p>
          <w:p w14:paraId="0EE5A546" w14:textId="2AD7E529" w:rsidR="0010376C" w:rsidRDefault="0010376C" w:rsidP="0010376C">
            <w:pPr>
              <w:pStyle w:val="ListParagraph"/>
              <w:numPr>
                <w:ilvl w:val="0"/>
                <w:numId w:val="1"/>
              </w:numPr>
              <w:ind w:left="360" w:right="189"/>
              <w:rPr>
                <w:sz w:val="20"/>
              </w:rPr>
            </w:pPr>
            <w:r>
              <w:rPr>
                <w:sz w:val="20"/>
              </w:rPr>
              <w:t>Add other national origin groups for California, based on California census data (e.g., Middle Eastern, Arab-American)</w:t>
            </w:r>
          </w:p>
        </w:tc>
      </w:tr>
      <w:tr w:rsidR="00EC5B80" w14:paraId="558741B3" w14:textId="77777777" w:rsidTr="002A162E">
        <w:trPr>
          <w:cantSplit/>
        </w:trPr>
        <w:tc>
          <w:tcPr>
            <w:tcW w:w="2785" w:type="dxa"/>
            <w:tcBorders>
              <w:bottom w:val="single" w:sz="4" w:space="0" w:color="auto"/>
            </w:tcBorders>
          </w:tcPr>
          <w:p w14:paraId="357E8C72" w14:textId="463F1365" w:rsidR="00EC5B80" w:rsidRPr="001A1742" w:rsidRDefault="00EC5B80" w:rsidP="0010376C">
            <w:pPr>
              <w:pStyle w:val="ListParagraph"/>
              <w:numPr>
                <w:ilvl w:val="0"/>
                <w:numId w:val="1"/>
              </w:numPr>
              <w:ind w:left="360" w:right="189"/>
              <w:rPr>
                <w:sz w:val="20"/>
              </w:rPr>
            </w:pPr>
            <w:r>
              <w:rPr>
                <w:sz w:val="20"/>
              </w:rPr>
              <w:t>I</w:t>
            </w:r>
            <w:r w:rsidR="0010376C">
              <w:rPr>
                <w:sz w:val="20"/>
              </w:rPr>
              <w:t>f</w:t>
            </w:r>
            <w:r>
              <w:rPr>
                <w:sz w:val="20"/>
              </w:rPr>
              <w:t xml:space="preserve"> </w:t>
            </w:r>
            <w:r w:rsidRPr="001A1742">
              <w:rPr>
                <w:sz w:val="20"/>
              </w:rPr>
              <w:t>multiethnic, query</w:t>
            </w:r>
            <w:r>
              <w:rPr>
                <w:sz w:val="20"/>
              </w:rPr>
              <w:t xml:space="preserve"> main group</w:t>
            </w:r>
            <w:r w:rsidR="00B71F15">
              <w:rPr>
                <w:sz w:val="20"/>
              </w:rPr>
              <w:t xml:space="preserve"> with which</w:t>
            </w:r>
            <w:r>
              <w:rPr>
                <w:sz w:val="20"/>
              </w:rPr>
              <w:t xml:space="preserve"> they identify </w:t>
            </w:r>
          </w:p>
        </w:tc>
        <w:tc>
          <w:tcPr>
            <w:tcW w:w="5130" w:type="dxa"/>
            <w:tcBorders>
              <w:bottom w:val="single" w:sz="4" w:space="0" w:color="auto"/>
            </w:tcBorders>
          </w:tcPr>
          <w:p w14:paraId="52DEBDB1" w14:textId="2AC034EF" w:rsidR="00EC5B80" w:rsidRDefault="00EC5B80" w:rsidP="00EC67C3">
            <w:pPr>
              <w:rPr>
                <w:sz w:val="20"/>
              </w:rPr>
            </w:pPr>
            <w:r>
              <w:rPr>
                <w:sz w:val="20"/>
              </w:rPr>
              <w:t>We included multiethnic as one response choice rather than have people check all that apply.  Those who check multiethnic then choose the one group they most identify with.  Because the multiethnic category is often too small to analyze separately, querying about the group they most identify with enables most</w:t>
            </w:r>
            <w:r w:rsidR="00B71F15">
              <w:rPr>
                <w:sz w:val="20"/>
              </w:rPr>
              <w:t xml:space="preserve"> respondents</w:t>
            </w:r>
            <w:r>
              <w:rPr>
                <w:sz w:val="20"/>
              </w:rPr>
              <w:t xml:space="preserve"> to </w:t>
            </w:r>
            <w:proofErr w:type="gramStart"/>
            <w:r>
              <w:rPr>
                <w:sz w:val="20"/>
              </w:rPr>
              <w:t>be classified</w:t>
            </w:r>
            <w:proofErr w:type="gramEnd"/>
            <w:r>
              <w:rPr>
                <w:sz w:val="20"/>
              </w:rPr>
              <w:t xml:space="preserve"> within their primary group for analytic purposes.  </w:t>
            </w:r>
          </w:p>
        </w:tc>
        <w:tc>
          <w:tcPr>
            <w:tcW w:w="3060" w:type="dxa"/>
            <w:tcBorders>
              <w:bottom w:val="single" w:sz="4" w:space="0" w:color="auto"/>
            </w:tcBorders>
          </w:tcPr>
          <w:p w14:paraId="462005B1" w14:textId="77777777" w:rsidR="00EC5B80" w:rsidRPr="000861C9" w:rsidRDefault="00EC5B80" w:rsidP="000861C9">
            <w:pPr>
              <w:ind w:right="189"/>
              <w:rPr>
                <w:sz w:val="20"/>
              </w:rPr>
            </w:pPr>
          </w:p>
        </w:tc>
      </w:tr>
      <w:tr w:rsidR="002A162E" w:rsidRPr="002A162E" w14:paraId="1520F309" w14:textId="77777777" w:rsidTr="002A162E">
        <w:trPr>
          <w:cantSplit/>
        </w:trPr>
        <w:tc>
          <w:tcPr>
            <w:tcW w:w="10975" w:type="dxa"/>
            <w:gridSpan w:val="3"/>
            <w:shd w:val="clear" w:color="auto" w:fill="E7E6E6" w:themeFill="background2"/>
          </w:tcPr>
          <w:p w14:paraId="6C766581" w14:textId="6AC27BBB" w:rsidR="002A162E" w:rsidRPr="00EC5B80" w:rsidRDefault="002A162E" w:rsidP="002A162E">
            <w:pPr>
              <w:spacing w:before="60" w:after="60"/>
              <w:rPr>
                <w:b/>
                <w:sz w:val="24"/>
                <w:szCs w:val="24"/>
              </w:rPr>
            </w:pPr>
            <w:r>
              <w:rPr>
                <w:b/>
                <w:sz w:val="24"/>
                <w:szCs w:val="24"/>
              </w:rPr>
              <w:t>National Origin</w:t>
            </w:r>
            <w:r w:rsidRPr="00EC67C3">
              <w:rPr>
                <w:b/>
                <w:sz w:val="24"/>
                <w:szCs w:val="24"/>
              </w:rPr>
              <w:t xml:space="preserve">, </w:t>
            </w:r>
            <w:r>
              <w:rPr>
                <w:b/>
                <w:sz w:val="24"/>
                <w:szCs w:val="24"/>
              </w:rPr>
              <w:t>Immigration G</w:t>
            </w:r>
            <w:r w:rsidRPr="00EC67C3">
              <w:rPr>
                <w:b/>
                <w:sz w:val="24"/>
                <w:szCs w:val="24"/>
              </w:rPr>
              <w:t>eneration</w:t>
            </w:r>
          </w:p>
        </w:tc>
      </w:tr>
      <w:tr w:rsidR="00EC67C3" w14:paraId="271AFFCD" w14:textId="77777777" w:rsidTr="002A162E">
        <w:trPr>
          <w:cantSplit/>
        </w:trPr>
        <w:tc>
          <w:tcPr>
            <w:tcW w:w="2785" w:type="dxa"/>
            <w:tcBorders>
              <w:bottom w:val="single" w:sz="4" w:space="0" w:color="auto"/>
            </w:tcBorders>
          </w:tcPr>
          <w:p w14:paraId="14265213" w14:textId="77777777" w:rsidR="00EC67C3" w:rsidRPr="001A1742" w:rsidRDefault="00EC67C3" w:rsidP="00A5051F">
            <w:pPr>
              <w:pStyle w:val="ListParagraph"/>
              <w:numPr>
                <w:ilvl w:val="0"/>
                <w:numId w:val="1"/>
              </w:numPr>
              <w:ind w:left="360"/>
              <w:rPr>
                <w:sz w:val="20"/>
              </w:rPr>
            </w:pPr>
            <w:r>
              <w:rPr>
                <w:sz w:val="20"/>
              </w:rPr>
              <w:t xml:space="preserve">Country of origin of self </w:t>
            </w:r>
          </w:p>
          <w:p w14:paraId="1D276CB6" w14:textId="257946F7" w:rsidR="00EC67C3" w:rsidRDefault="00EC67C3" w:rsidP="00A5051F">
            <w:pPr>
              <w:pStyle w:val="ListParagraph"/>
              <w:numPr>
                <w:ilvl w:val="0"/>
                <w:numId w:val="1"/>
              </w:numPr>
              <w:ind w:left="360"/>
              <w:rPr>
                <w:sz w:val="20"/>
              </w:rPr>
            </w:pPr>
            <w:r>
              <w:rPr>
                <w:sz w:val="20"/>
              </w:rPr>
              <w:t>Country of origin of parents and paternal and maternal grandparents</w:t>
            </w:r>
          </w:p>
          <w:p w14:paraId="53BD0941" w14:textId="59839CD6" w:rsidR="00EC67C3" w:rsidRPr="00A5051F" w:rsidRDefault="00EC67C3" w:rsidP="0010376C">
            <w:pPr>
              <w:pStyle w:val="ListParagraph"/>
              <w:numPr>
                <w:ilvl w:val="0"/>
                <w:numId w:val="1"/>
              </w:numPr>
              <w:ind w:left="360"/>
              <w:rPr>
                <w:sz w:val="20"/>
              </w:rPr>
            </w:pPr>
            <w:r>
              <w:rPr>
                <w:sz w:val="20"/>
              </w:rPr>
              <w:t>For those not born in U.S.: 1) years living in U.S., 2) age first immigrated, 3) main reason for immigrating</w:t>
            </w:r>
          </w:p>
        </w:tc>
        <w:tc>
          <w:tcPr>
            <w:tcW w:w="5130" w:type="dxa"/>
            <w:tcBorders>
              <w:bottom w:val="single" w:sz="4" w:space="0" w:color="auto"/>
            </w:tcBorders>
          </w:tcPr>
          <w:p w14:paraId="1618DF4D" w14:textId="28CB1DFF" w:rsidR="00EC67C3" w:rsidRDefault="00EC67C3" w:rsidP="002B5D02">
            <w:pPr>
              <w:ind w:left="2" w:right="15"/>
              <w:rPr>
                <w:sz w:val="29"/>
              </w:rPr>
            </w:pPr>
            <w:r>
              <w:rPr>
                <w:sz w:val="20"/>
              </w:rPr>
              <w:t xml:space="preserve">A set of variables pertaining to immigration experiences enables studies of how immigration affects health disparities.  These can </w:t>
            </w:r>
            <w:r w:rsidR="002B5D02">
              <w:rPr>
                <w:sz w:val="20"/>
              </w:rPr>
              <w:t xml:space="preserve">help </w:t>
            </w:r>
            <w:r>
              <w:rPr>
                <w:sz w:val="20"/>
              </w:rPr>
              <w:t>classify respondents into meaningful subgroups pertaining to “exposure” to U.S. cultur</w:t>
            </w:r>
            <w:r w:rsidR="001B1915">
              <w:rPr>
                <w:sz w:val="20"/>
              </w:rPr>
              <w:t xml:space="preserve">e.  They also enable such description </w:t>
            </w:r>
            <w:r>
              <w:rPr>
                <w:sz w:val="20"/>
              </w:rPr>
              <w:t xml:space="preserve">at different phases of the lifecourse, and </w:t>
            </w:r>
            <w:r w:rsidR="001B1915">
              <w:rPr>
                <w:sz w:val="20"/>
              </w:rPr>
              <w:t xml:space="preserve">help </w:t>
            </w:r>
            <w:r>
              <w:rPr>
                <w:sz w:val="20"/>
              </w:rPr>
              <w:t>determine whether immigration was a discretion</w:t>
            </w:r>
            <w:r w:rsidR="001B1915">
              <w:rPr>
                <w:sz w:val="20"/>
              </w:rPr>
              <w:t xml:space="preserve">ary choice.  </w:t>
            </w:r>
          </w:p>
        </w:tc>
        <w:tc>
          <w:tcPr>
            <w:tcW w:w="3060" w:type="dxa"/>
            <w:tcBorders>
              <w:bottom w:val="single" w:sz="4" w:space="0" w:color="auto"/>
            </w:tcBorders>
          </w:tcPr>
          <w:p w14:paraId="533B5AE6" w14:textId="77777777" w:rsidR="00EC67C3" w:rsidRDefault="00EC67C3" w:rsidP="001A1742">
            <w:pPr>
              <w:jc w:val="center"/>
              <w:rPr>
                <w:sz w:val="29"/>
              </w:rPr>
            </w:pPr>
          </w:p>
        </w:tc>
      </w:tr>
      <w:tr w:rsidR="002A162E" w:rsidRPr="002A162E" w14:paraId="4F898794" w14:textId="77777777" w:rsidTr="002A162E">
        <w:trPr>
          <w:cantSplit/>
        </w:trPr>
        <w:tc>
          <w:tcPr>
            <w:tcW w:w="10975" w:type="dxa"/>
            <w:gridSpan w:val="3"/>
            <w:shd w:val="clear" w:color="auto" w:fill="E7E6E6" w:themeFill="background2"/>
          </w:tcPr>
          <w:p w14:paraId="67DE2049" w14:textId="11622364" w:rsidR="002A162E" w:rsidRPr="00EC5B80" w:rsidRDefault="002A162E" w:rsidP="002A162E">
            <w:pPr>
              <w:spacing w:before="60" w:after="60"/>
              <w:rPr>
                <w:b/>
                <w:sz w:val="24"/>
                <w:szCs w:val="24"/>
              </w:rPr>
            </w:pPr>
            <w:r>
              <w:rPr>
                <w:b/>
                <w:sz w:val="24"/>
                <w:szCs w:val="24"/>
              </w:rPr>
              <w:t>Language and L</w:t>
            </w:r>
            <w:r w:rsidRPr="00EC67C3">
              <w:rPr>
                <w:b/>
                <w:sz w:val="24"/>
                <w:szCs w:val="24"/>
              </w:rPr>
              <w:t xml:space="preserve">anguage </w:t>
            </w:r>
            <w:r>
              <w:rPr>
                <w:b/>
                <w:sz w:val="24"/>
                <w:szCs w:val="24"/>
              </w:rPr>
              <w:t>P</w:t>
            </w:r>
            <w:r w:rsidRPr="00EC67C3">
              <w:rPr>
                <w:b/>
                <w:sz w:val="24"/>
                <w:szCs w:val="24"/>
              </w:rPr>
              <w:t>roficiency</w:t>
            </w:r>
            <w:r w:rsidRPr="00EC5B80">
              <w:rPr>
                <w:b/>
                <w:sz w:val="24"/>
                <w:szCs w:val="24"/>
              </w:rPr>
              <w:t xml:space="preserve">  </w:t>
            </w:r>
          </w:p>
        </w:tc>
      </w:tr>
      <w:tr w:rsidR="00FF0D37" w14:paraId="097705AC" w14:textId="77777777" w:rsidTr="003F7C21">
        <w:trPr>
          <w:cantSplit/>
        </w:trPr>
        <w:tc>
          <w:tcPr>
            <w:tcW w:w="2785" w:type="dxa"/>
          </w:tcPr>
          <w:p w14:paraId="74990D20" w14:textId="0500569C" w:rsidR="00FF0D37" w:rsidRDefault="00FF0D37" w:rsidP="00FF0D37">
            <w:pPr>
              <w:pStyle w:val="ListParagraph"/>
              <w:numPr>
                <w:ilvl w:val="0"/>
                <w:numId w:val="1"/>
              </w:numPr>
              <w:ind w:left="360"/>
              <w:rPr>
                <w:rFonts w:ascii="Arial" w:eastAsia="Arial" w:hAnsi="Arial" w:cs="Arial"/>
                <w:sz w:val="20"/>
              </w:rPr>
            </w:pPr>
            <w:r>
              <w:rPr>
                <w:sz w:val="20"/>
              </w:rPr>
              <w:lastRenderedPageBreak/>
              <w:t xml:space="preserve">English language proficiency </w:t>
            </w:r>
          </w:p>
        </w:tc>
        <w:tc>
          <w:tcPr>
            <w:tcW w:w="5130" w:type="dxa"/>
          </w:tcPr>
          <w:p w14:paraId="2E9985E1" w14:textId="71CF0DF5" w:rsidR="00FF0D37" w:rsidRDefault="00FF0D37" w:rsidP="001B1915">
            <w:pPr>
              <w:spacing w:after="59"/>
              <w:ind w:left="36"/>
              <w:rPr>
                <w:sz w:val="20"/>
                <w:u w:val="single" w:color="000000"/>
              </w:rPr>
            </w:pPr>
            <w:r>
              <w:rPr>
                <w:sz w:val="20"/>
              </w:rPr>
              <w:t xml:space="preserve">We assess English language proficiency of all respondents.  This is in contrast to asking this question only for those who have another primary language and avoids problems identifying those who might not be proficient for whom the question is most relevant.  Although the U.S. Census asks how well the person speaks English, we also assess proficiency understanding, reading, and writing.  </w:t>
            </w:r>
          </w:p>
        </w:tc>
        <w:tc>
          <w:tcPr>
            <w:tcW w:w="3060" w:type="dxa"/>
          </w:tcPr>
          <w:p w14:paraId="52B1C8F3" w14:textId="77777777" w:rsidR="00FF0D37" w:rsidRDefault="00FF0D37" w:rsidP="001A1742">
            <w:pPr>
              <w:ind w:left="133"/>
              <w:rPr>
                <w:rFonts w:ascii="Arial" w:eastAsia="Arial" w:hAnsi="Arial" w:cs="Arial"/>
                <w:sz w:val="20"/>
              </w:rPr>
            </w:pPr>
          </w:p>
        </w:tc>
      </w:tr>
      <w:tr w:rsidR="001B1915" w14:paraId="0D945EE7" w14:textId="77777777" w:rsidTr="003F7C21">
        <w:trPr>
          <w:cantSplit/>
        </w:trPr>
        <w:tc>
          <w:tcPr>
            <w:tcW w:w="2785" w:type="dxa"/>
          </w:tcPr>
          <w:p w14:paraId="18492A83" w14:textId="63AFC237" w:rsidR="001B1915" w:rsidRPr="00E3128C" w:rsidRDefault="001B1915" w:rsidP="00FF0D37">
            <w:pPr>
              <w:pStyle w:val="ListParagraph"/>
              <w:numPr>
                <w:ilvl w:val="0"/>
                <w:numId w:val="1"/>
              </w:numPr>
              <w:ind w:left="360"/>
              <w:rPr>
                <w:sz w:val="20"/>
              </w:rPr>
            </w:pPr>
            <w:r w:rsidRPr="00E3128C">
              <w:rPr>
                <w:sz w:val="20"/>
              </w:rPr>
              <w:t xml:space="preserve">Limited English proficiency (LEP) </w:t>
            </w:r>
          </w:p>
        </w:tc>
        <w:tc>
          <w:tcPr>
            <w:tcW w:w="5130" w:type="dxa"/>
          </w:tcPr>
          <w:p w14:paraId="49F0A5AD" w14:textId="49821B21" w:rsidR="001B1915" w:rsidRDefault="001B1915" w:rsidP="00E81799">
            <w:pPr>
              <w:spacing w:after="59"/>
              <w:ind w:left="36"/>
              <w:rPr>
                <w:sz w:val="20"/>
                <w:u w:val="single" w:color="000000"/>
              </w:rPr>
            </w:pPr>
            <w:r w:rsidRPr="00E3128C">
              <w:rPr>
                <w:sz w:val="20"/>
              </w:rPr>
              <w:t>To identify those with limited English proficiency, we utilize the “</w:t>
            </w:r>
            <w:r w:rsidR="00E81799" w:rsidRPr="00E3128C">
              <w:rPr>
                <w:sz w:val="20"/>
              </w:rPr>
              <w:t xml:space="preserve">How well do you </w:t>
            </w:r>
            <w:r w:rsidRPr="00E3128C">
              <w:rPr>
                <w:sz w:val="20"/>
              </w:rPr>
              <w:t>speak</w:t>
            </w:r>
            <w:r w:rsidR="00E81799" w:rsidRPr="00E3128C">
              <w:rPr>
                <w:sz w:val="20"/>
              </w:rPr>
              <w:t xml:space="preserve"> </w:t>
            </w:r>
            <w:r w:rsidRPr="00E3128C">
              <w:rPr>
                <w:sz w:val="20"/>
              </w:rPr>
              <w:t>English</w:t>
            </w:r>
            <w:r w:rsidR="00E81799" w:rsidRPr="00E3128C">
              <w:rPr>
                <w:sz w:val="20"/>
              </w:rPr>
              <w:t>” item from the set, classifying LEP as speaking English not at all, poorly, or fairly well.</w:t>
            </w:r>
            <w:r w:rsidRPr="00E3128C">
              <w:rPr>
                <w:sz w:val="20"/>
              </w:rPr>
              <w:t xml:space="preserve">  We improved the responses to be semantically equivalent in Spanish.</w:t>
            </w:r>
            <w:r>
              <w:rPr>
                <w:sz w:val="20"/>
              </w:rPr>
              <w:t xml:space="preserve">   </w:t>
            </w:r>
          </w:p>
        </w:tc>
        <w:tc>
          <w:tcPr>
            <w:tcW w:w="3060" w:type="dxa"/>
          </w:tcPr>
          <w:p w14:paraId="3010BFA1" w14:textId="77777777" w:rsidR="001B1915" w:rsidRDefault="001B1915" w:rsidP="001A1742">
            <w:pPr>
              <w:ind w:left="133"/>
              <w:rPr>
                <w:rFonts w:ascii="Arial" w:eastAsia="Arial" w:hAnsi="Arial" w:cs="Arial"/>
                <w:sz w:val="20"/>
              </w:rPr>
            </w:pPr>
          </w:p>
        </w:tc>
      </w:tr>
      <w:tr w:rsidR="00FF0D37" w14:paraId="240620D2" w14:textId="77777777" w:rsidTr="003F7C21">
        <w:trPr>
          <w:cantSplit/>
        </w:trPr>
        <w:tc>
          <w:tcPr>
            <w:tcW w:w="2785" w:type="dxa"/>
          </w:tcPr>
          <w:p w14:paraId="68055DFF" w14:textId="2D9B2195" w:rsidR="00FF0D37" w:rsidRDefault="00FF0D37" w:rsidP="00FF0D37">
            <w:pPr>
              <w:pStyle w:val="ListParagraph"/>
              <w:numPr>
                <w:ilvl w:val="0"/>
                <w:numId w:val="1"/>
              </w:numPr>
              <w:ind w:left="360"/>
              <w:rPr>
                <w:rFonts w:ascii="Arial" w:eastAsia="Arial" w:hAnsi="Arial" w:cs="Arial"/>
                <w:sz w:val="20"/>
              </w:rPr>
            </w:pPr>
            <w:r>
              <w:rPr>
                <w:sz w:val="20"/>
              </w:rPr>
              <w:t xml:space="preserve">Main language (language spoken growing up) </w:t>
            </w:r>
          </w:p>
        </w:tc>
        <w:tc>
          <w:tcPr>
            <w:tcW w:w="5130" w:type="dxa"/>
          </w:tcPr>
          <w:p w14:paraId="30F3DB6D" w14:textId="132FCCE0" w:rsidR="00FF0D37" w:rsidRDefault="00FF0D37" w:rsidP="00E81799">
            <w:pPr>
              <w:spacing w:after="59"/>
              <w:ind w:left="36" w:right="27"/>
              <w:rPr>
                <w:sz w:val="20"/>
                <w:u w:val="single" w:color="000000"/>
              </w:rPr>
            </w:pPr>
            <w:r>
              <w:rPr>
                <w:sz w:val="20"/>
              </w:rPr>
              <w:t xml:space="preserve">The U.S. Census (2010) asks if the person speaks a language other than English at home (current language use at home).  We believe that determining whether they spoke another </w:t>
            </w:r>
            <w:proofErr w:type="gramStart"/>
            <w:r>
              <w:rPr>
                <w:sz w:val="20"/>
              </w:rPr>
              <w:t>language</w:t>
            </w:r>
            <w:proofErr w:type="gramEnd"/>
            <w:r>
              <w:rPr>
                <w:sz w:val="20"/>
              </w:rPr>
              <w:t xml:space="preserve"> as a child is a better indicator of primary language than current language use.  </w:t>
            </w:r>
            <w:proofErr w:type="gramStart"/>
            <w:r>
              <w:rPr>
                <w:sz w:val="20"/>
              </w:rPr>
              <w:t>Also</w:t>
            </w:r>
            <w:proofErr w:type="gramEnd"/>
            <w:r>
              <w:rPr>
                <w:sz w:val="20"/>
              </w:rPr>
              <w:t xml:space="preserve">, for persons who live alone, the language they speak at home is not </w:t>
            </w:r>
            <w:r w:rsidR="00E81799">
              <w:rPr>
                <w:sz w:val="20"/>
              </w:rPr>
              <w:t>reflective of this</w:t>
            </w:r>
            <w:r>
              <w:rPr>
                <w:sz w:val="20"/>
              </w:rPr>
              <w:t xml:space="preserve">.  We improved this by assessing primary language in terms of whether they spoke another language as a child.   </w:t>
            </w:r>
          </w:p>
        </w:tc>
        <w:tc>
          <w:tcPr>
            <w:tcW w:w="3060" w:type="dxa"/>
          </w:tcPr>
          <w:p w14:paraId="1635ABA2" w14:textId="77777777" w:rsidR="00FF0D37" w:rsidRDefault="00FF0D37" w:rsidP="001A1742">
            <w:pPr>
              <w:ind w:left="133"/>
              <w:rPr>
                <w:rFonts w:ascii="Arial" w:eastAsia="Arial" w:hAnsi="Arial" w:cs="Arial"/>
                <w:sz w:val="20"/>
              </w:rPr>
            </w:pPr>
          </w:p>
        </w:tc>
      </w:tr>
      <w:tr w:rsidR="00EC67C3" w14:paraId="4855BA00" w14:textId="77777777" w:rsidTr="002A162E">
        <w:trPr>
          <w:cantSplit/>
        </w:trPr>
        <w:tc>
          <w:tcPr>
            <w:tcW w:w="2785" w:type="dxa"/>
            <w:tcBorders>
              <w:bottom w:val="single" w:sz="4" w:space="0" w:color="auto"/>
            </w:tcBorders>
          </w:tcPr>
          <w:p w14:paraId="4FB2ED6C" w14:textId="589AC8CE" w:rsidR="00EC67C3" w:rsidRPr="00FF0D37" w:rsidRDefault="00FF0D37" w:rsidP="00FF0D37">
            <w:pPr>
              <w:pStyle w:val="ListParagraph"/>
              <w:numPr>
                <w:ilvl w:val="0"/>
                <w:numId w:val="1"/>
              </w:numPr>
              <w:ind w:left="360"/>
              <w:rPr>
                <w:sz w:val="20"/>
              </w:rPr>
            </w:pPr>
            <w:r>
              <w:rPr>
                <w:sz w:val="20"/>
              </w:rPr>
              <w:t>“Other” language proficiency - for persons whose main language is not English</w:t>
            </w:r>
          </w:p>
        </w:tc>
        <w:tc>
          <w:tcPr>
            <w:tcW w:w="5130" w:type="dxa"/>
            <w:tcBorders>
              <w:bottom w:val="single" w:sz="4" w:space="0" w:color="auto"/>
            </w:tcBorders>
          </w:tcPr>
          <w:p w14:paraId="1E4B2AD8" w14:textId="2BD35AC8" w:rsidR="00EC67C3" w:rsidRDefault="00EC67C3" w:rsidP="00A5051F">
            <w:pPr>
              <w:rPr>
                <w:sz w:val="29"/>
              </w:rPr>
            </w:pPr>
            <w:r>
              <w:rPr>
                <w:sz w:val="20"/>
              </w:rPr>
              <w:t xml:space="preserve">If they spoke another language as a child, we asses proficiency in their other language to identify those who may have limited English proficiency but can utilize information in another language.  Questions about which language they speak the most </w:t>
            </w:r>
            <w:proofErr w:type="gramStart"/>
            <w:r>
              <w:rPr>
                <w:sz w:val="20"/>
              </w:rPr>
              <w:t>are addressed</w:t>
            </w:r>
            <w:proofErr w:type="gramEnd"/>
            <w:r>
              <w:rPr>
                <w:sz w:val="20"/>
              </w:rPr>
              <w:t xml:space="preserve"> in the section on language acculturation.   </w:t>
            </w:r>
          </w:p>
        </w:tc>
        <w:tc>
          <w:tcPr>
            <w:tcW w:w="3060" w:type="dxa"/>
            <w:tcBorders>
              <w:bottom w:val="single" w:sz="4" w:space="0" w:color="auto"/>
            </w:tcBorders>
          </w:tcPr>
          <w:p w14:paraId="56E00AC2" w14:textId="1A8E0D74" w:rsidR="00EC67C3" w:rsidRPr="000861C9" w:rsidRDefault="00EC67C3" w:rsidP="000861C9">
            <w:pPr>
              <w:pStyle w:val="ListParagraph"/>
              <w:numPr>
                <w:ilvl w:val="0"/>
                <w:numId w:val="1"/>
              </w:numPr>
              <w:ind w:left="360"/>
              <w:rPr>
                <w:sz w:val="20"/>
              </w:rPr>
            </w:pPr>
            <w:r>
              <w:rPr>
                <w:sz w:val="20"/>
              </w:rPr>
              <w:t xml:space="preserve">Literacy </w:t>
            </w:r>
          </w:p>
          <w:p w14:paraId="6C098CF7" w14:textId="56A6EAA3" w:rsidR="00EC67C3" w:rsidRPr="000861C9" w:rsidRDefault="00EC67C3" w:rsidP="000861C9">
            <w:pPr>
              <w:pStyle w:val="ListParagraph"/>
              <w:numPr>
                <w:ilvl w:val="0"/>
                <w:numId w:val="1"/>
              </w:numPr>
              <w:ind w:left="360"/>
              <w:rPr>
                <w:sz w:val="20"/>
              </w:rPr>
            </w:pPr>
            <w:r>
              <w:rPr>
                <w:sz w:val="20"/>
              </w:rPr>
              <w:t xml:space="preserve">Health literacy </w:t>
            </w:r>
          </w:p>
          <w:p w14:paraId="44B75571" w14:textId="5C8464B3" w:rsidR="00EC67C3" w:rsidRPr="000861C9" w:rsidRDefault="00EC67C3" w:rsidP="000861C9">
            <w:pPr>
              <w:pStyle w:val="ListParagraph"/>
              <w:numPr>
                <w:ilvl w:val="0"/>
                <w:numId w:val="1"/>
              </w:numPr>
              <w:ind w:left="360"/>
              <w:rPr>
                <w:sz w:val="20"/>
              </w:rPr>
            </w:pPr>
            <w:r>
              <w:rPr>
                <w:sz w:val="20"/>
              </w:rPr>
              <w:t xml:space="preserve">Numeracy </w:t>
            </w:r>
          </w:p>
        </w:tc>
      </w:tr>
      <w:tr w:rsidR="002A162E" w:rsidRPr="002A162E" w14:paraId="3E392E3B" w14:textId="77777777" w:rsidTr="002A162E">
        <w:trPr>
          <w:cantSplit/>
          <w:trHeight w:val="364"/>
        </w:trPr>
        <w:tc>
          <w:tcPr>
            <w:tcW w:w="10975" w:type="dxa"/>
            <w:gridSpan w:val="3"/>
            <w:shd w:val="clear" w:color="auto" w:fill="E7E6E6" w:themeFill="background2"/>
          </w:tcPr>
          <w:p w14:paraId="6177710F" w14:textId="021ED151" w:rsidR="002A162E" w:rsidRPr="00EC67C3" w:rsidRDefault="002A162E" w:rsidP="002A162E">
            <w:pPr>
              <w:spacing w:before="60" w:after="60"/>
              <w:rPr>
                <w:b/>
                <w:sz w:val="24"/>
                <w:szCs w:val="24"/>
              </w:rPr>
            </w:pPr>
            <w:r w:rsidRPr="00EC67C3">
              <w:rPr>
                <w:b/>
                <w:sz w:val="24"/>
                <w:szCs w:val="24"/>
              </w:rPr>
              <w:t xml:space="preserve">Acculturation (for </w:t>
            </w:r>
            <w:r>
              <w:rPr>
                <w:b/>
                <w:sz w:val="24"/>
                <w:szCs w:val="24"/>
              </w:rPr>
              <w:t>I</w:t>
            </w:r>
            <w:r w:rsidRPr="00EC67C3">
              <w:rPr>
                <w:b/>
                <w:sz w:val="24"/>
                <w:szCs w:val="24"/>
              </w:rPr>
              <w:t>mmigrants)</w:t>
            </w:r>
            <w:r>
              <w:rPr>
                <w:b/>
                <w:sz w:val="24"/>
                <w:szCs w:val="24"/>
              </w:rPr>
              <w:t xml:space="preserve"> </w:t>
            </w:r>
          </w:p>
        </w:tc>
      </w:tr>
      <w:tr w:rsidR="00EC67C3" w14:paraId="64214AF3" w14:textId="77777777" w:rsidTr="003F7C21">
        <w:trPr>
          <w:cantSplit/>
        </w:trPr>
        <w:tc>
          <w:tcPr>
            <w:tcW w:w="2785" w:type="dxa"/>
          </w:tcPr>
          <w:p w14:paraId="0409B070" w14:textId="0AD88817" w:rsidR="00EC67C3" w:rsidRPr="000861C9" w:rsidRDefault="000861C9" w:rsidP="00160CEA">
            <w:pPr>
              <w:pStyle w:val="ListParagraph"/>
              <w:numPr>
                <w:ilvl w:val="0"/>
                <w:numId w:val="1"/>
              </w:numPr>
              <w:ind w:left="360"/>
              <w:rPr>
                <w:sz w:val="20"/>
              </w:rPr>
            </w:pPr>
            <w:r>
              <w:rPr>
                <w:sz w:val="20"/>
              </w:rPr>
              <w:t>L</w:t>
            </w:r>
            <w:r w:rsidR="00EC67C3">
              <w:rPr>
                <w:sz w:val="20"/>
              </w:rPr>
              <w:t xml:space="preserve">anguage acculturation </w:t>
            </w:r>
          </w:p>
        </w:tc>
        <w:tc>
          <w:tcPr>
            <w:tcW w:w="5130" w:type="dxa"/>
          </w:tcPr>
          <w:p w14:paraId="02C27502" w14:textId="17486E84" w:rsidR="00EC67C3" w:rsidRDefault="00EC67C3" w:rsidP="00FF0D37">
            <w:pPr>
              <w:spacing w:after="59"/>
              <w:ind w:left="36"/>
              <w:rPr>
                <w:sz w:val="20"/>
                <w:u w:val="single" w:color="000000"/>
              </w:rPr>
            </w:pPr>
            <w:r>
              <w:rPr>
                <w:sz w:val="20"/>
              </w:rPr>
              <w:t>We include the standard</w:t>
            </w:r>
            <w:r w:rsidR="00160CEA">
              <w:rPr>
                <w:sz w:val="20"/>
              </w:rPr>
              <w:t xml:space="preserve"> Marin</w:t>
            </w:r>
            <w:r>
              <w:rPr>
                <w:sz w:val="20"/>
              </w:rPr>
              <w:t xml:space="preserve"> language acculturation scale (Marin et al., 1987) </w:t>
            </w:r>
            <w:proofErr w:type="gramStart"/>
            <w:r>
              <w:rPr>
                <w:sz w:val="20"/>
              </w:rPr>
              <w:t>because of its widespread use, and to enable comparisons of our approach to language proficiency with language behavior</w:t>
            </w:r>
            <w:proofErr w:type="gramEnd"/>
            <w:r>
              <w:rPr>
                <w:sz w:val="20"/>
              </w:rPr>
              <w:t xml:space="preserve">.  It asks about use of language in certain activities as well as self-identity.  </w:t>
            </w:r>
          </w:p>
        </w:tc>
        <w:tc>
          <w:tcPr>
            <w:tcW w:w="3060" w:type="dxa"/>
          </w:tcPr>
          <w:p w14:paraId="1736339E" w14:textId="1B0F5FCA" w:rsidR="00EC67C3" w:rsidRPr="000861C9" w:rsidRDefault="00EC67C3" w:rsidP="000861C9">
            <w:pPr>
              <w:pStyle w:val="ListParagraph"/>
              <w:numPr>
                <w:ilvl w:val="0"/>
                <w:numId w:val="1"/>
              </w:numPr>
              <w:ind w:left="360"/>
              <w:rPr>
                <w:sz w:val="20"/>
              </w:rPr>
            </w:pPr>
            <w:r>
              <w:rPr>
                <w:sz w:val="20"/>
              </w:rPr>
              <w:t xml:space="preserve">Acculturative stress </w:t>
            </w:r>
          </w:p>
          <w:p w14:paraId="54C09899" w14:textId="77777777" w:rsidR="0010376C" w:rsidRPr="00160CEA" w:rsidRDefault="00EC67C3" w:rsidP="000861C9">
            <w:pPr>
              <w:pStyle w:val="ListParagraph"/>
              <w:numPr>
                <w:ilvl w:val="0"/>
                <w:numId w:val="1"/>
              </w:numPr>
              <w:ind w:left="360"/>
              <w:rPr>
                <w:sz w:val="20"/>
              </w:rPr>
            </w:pPr>
            <w:r w:rsidRPr="00160CEA">
              <w:rPr>
                <w:sz w:val="20"/>
              </w:rPr>
              <w:t>Identification with old/new culture</w:t>
            </w:r>
          </w:p>
          <w:p w14:paraId="790F89AB" w14:textId="61F912C9" w:rsidR="00EC67C3" w:rsidRPr="000861C9" w:rsidRDefault="0010376C" w:rsidP="00160CEA">
            <w:pPr>
              <w:pStyle w:val="ListParagraph"/>
              <w:numPr>
                <w:ilvl w:val="0"/>
                <w:numId w:val="1"/>
              </w:numPr>
              <w:ind w:left="360"/>
              <w:rPr>
                <w:sz w:val="20"/>
              </w:rPr>
            </w:pPr>
            <w:r w:rsidRPr="00160CEA">
              <w:rPr>
                <w:sz w:val="20"/>
              </w:rPr>
              <w:t>Enculturation</w:t>
            </w:r>
          </w:p>
        </w:tc>
      </w:tr>
      <w:tr w:rsidR="00FF0D37" w14:paraId="2C060185" w14:textId="77777777" w:rsidTr="002A162E">
        <w:trPr>
          <w:cantSplit/>
        </w:trPr>
        <w:tc>
          <w:tcPr>
            <w:tcW w:w="2785" w:type="dxa"/>
            <w:tcBorders>
              <w:bottom w:val="single" w:sz="4" w:space="0" w:color="auto"/>
            </w:tcBorders>
          </w:tcPr>
          <w:p w14:paraId="2989A0FE" w14:textId="55A73535" w:rsidR="00E81799" w:rsidRPr="00160CEA" w:rsidRDefault="00E81799" w:rsidP="00160CEA">
            <w:pPr>
              <w:rPr>
                <w:rFonts w:ascii="Arial" w:eastAsia="Arial" w:hAnsi="Arial" w:cs="Arial"/>
                <w:sz w:val="20"/>
                <w:highlight w:val="green"/>
              </w:rPr>
            </w:pPr>
          </w:p>
        </w:tc>
        <w:tc>
          <w:tcPr>
            <w:tcW w:w="5130" w:type="dxa"/>
            <w:tcBorders>
              <w:bottom w:val="single" w:sz="4" w:space="0" w:color="auto"/>
            </w:tcBorders>
          </w:tcPr>
          <w:p w14:paraId="1FF1E89F" w14:textId="717649C6" w:rsidR="00FF0D37" w:rsidRPr="00160CEA" w:rsidRDefault="00160CEA" w:rsidP="00160CEA">
            <w:pPr>
              <w:rPr>
                <w:sz w:val="20"/>
                <w:u w:val="single" w:color="000000"/>
              </w:rPr>
            </w:pPr>
            <w:r w:rsidRPr="00160CEA">
              <w:rPr>
                <w:sz w:val="20"/>
              </w:rPr>
              <w:t xml:space="preserve">Relevant to quality of care, it would be helpful </w:t>
            </w:r>
            <w:proofErr w:type="gramStart"/>
            <w:r w:rsidRPr="00160CEA">
              <w:rPr>
                <w:sz w:val="20"/>
              </w:rPr>
              <w:t xml:space="preserve">to </w:t>
            </w:r>
            <w:r w:rsidR="00FF0D37" w:rsidRPr="00160CEA">
              <w:rPr>
                <w:sz w:val="20"/>
              </w:rPr>
              <w:t>directly assess</w:t>
            </w:r>
            <w:proofErr w:type="gramEnd"/>
            <w:r w:rsidR="00FF0D37" w:rsidRPr="00160CEA">
              <w:rPr>
                <w:sz w:val="20"/>
              </w:rPr>
              <w:t xml:space="preserve"> language preference for receiving medical care, which may or may not correspond to their preferred language in other contexts, given that medical problems may be sensitive and difficult to describe.   </w:t>
            </w:r>
          </w:p>
        </w:tc>
        <w:tc>
          <w:tcPr>
            <w:tcW w:w="3060" w:type="dxa"/>
            <w:tcBorders>
              <w:bottom w:val="single" w:sz="4" w:space="0" w:color="auto"/>
            </w:tcBorders>
          </w:tcPr>
          <w:p w14:paraId="79C5FA93" w14:textId="77777777" w:rsidR="00160CEA" w:rsidRPr="00160CEA" w:rsidRDefault="00160CEA" w:rsidP="00160CEA">
            <w:pPr>
              <w:pStyle w:val="ListParagraph"/>
              <w:numPr>
                <w:ilvl w:val="0"/>
                <w:numId w:val="1"/>
              </w:numPr>
              <w:ind w:left="360"/>
              <w:rPr>
                <w:rFonts w:ascii="Arial" w:eastAsia="Arial" w:hAnsi="Arial" w:cs="Arial"/>
                <w:sz w:val="20"/>
              </w:rPr>
            </w:pPr>
            <w:r w:rsidRPr="00160CEA">
              <w:rPr>
                <w:sz w:val="20"/>
              </w:rPr>
              <w:t>Language preference for receiving written health information</w:t>
            </w:r>
          </w:p>
          <w:p w14:paraId="1E75E605" w14:textId="37FCD6B7" w:rsidR="00FF0D37" w:rsidRPr="00160CEA" w:rsidRDefault="00160CEA" w:rsidP="00160CEA">
            <w:pPr>
              <w:pStyle w:val="ListParagraph"/>
              <w:numPr>
                <w:ilvl w:val="0"/>
                <w:numId w:val="1"/>
              </w:numPr>
              <w:ind w:left="360"/>
              <w:rPr>
                <w:rFonts w:ascii="Arial" w:eastAsia="Arial" w:hAnsi="Arial" w:cs="Arial"/>
                <w:sz w:val="20"/>
              </w:rPr>
            </w:pPr>
            <w:r w:rsidRPr="00160CEA">
              <w:rPr>
                <w:sz w:val="20"/>
              </w:rPr>
              <w:t>Language preference for receiving medical care</w:t>
            </w:r>
          </w:p>
        </w:tc>
      </w:tr>
      <w:tr w:rsidR="002A162E" w:rsidRPr="002A162E" w14:paraId="7BAB0D5D" w14:textId="77777777" w:rsidTr="002A162E">
        <w:trPr>
          <w:cantSplit/>
        </w:trPr>
        <w:tc>
          <w:tcPr>
            <w:tcW w:w="10975" w:type="dxa"/>
            <w:gridSpan w:val="3"/>
            <w:shd w:val="clear" w:color="auto" w:fill="E7E6E6" w:themeFill="background2"/>
          </w:tcPr>
          <w:p w14:paraId="78449F95" w14:textId="4CFF2BC0" w:rsidR="002A162E" w:rsidRPr="00EC67C3" w:rsidRDefault="002A162E" w:rsidP="002A162E">
            <w:pPr>
              <w:spacing w:before="60" w:after="60"/>
              <w:rPr>
                <w:b/>
                <w:sz w:val="24"/>
                <w:szCs w:val="24"/>
              </w:rPr>
            </w:pPr>
            <w:r w:rsidRPr="00EC67C3">
              <w:rPr>
                <w:b/>
                <w:sz w:val="24"/>
                <w:szCs w:val="24"/>
              </w:rPr>
              <w:t>Education</w:t>
            </w:r>
          </w:p>
        </w:tc>
      </w:tr>
      <w:tr w:rsidR="00EC67C3" w14:paraId="30A168D7" w14:textId="77777777" w:rsidTr="003F7C21">
        <w:trPr>
          <w:cantSplit/>
        </w:trPr>
        <w:tc>
          <w:tcPr>
            <w:tcW w:w="2785" w:type="dxa"/>
          </w:tcPr>
          <w:p w14:paraId="615BF9F9" w14:textId="4AF80A12" w:rsidR="00EC67C3" w:rsidRPr="000861C9" w:rsidRDefault="00EC67C3" w:rsidP="000861C9">
            <w:pPr>
              <w:pStyle w:val="ListParagraph"/>
              <w:numPr>
                <w:ilvl w:val="0"/>
                <w:numId w:val="1"/>
              </w:numPr>
              <w:ind w:left="360"/>
              <w:rPr>
                <w:sz w:val="20"/>
              </w:rPr>
            </w:pPr>
            <w:r>
              <w:rPr>
                <w:sz w:val="20"/>
              </w:rPr>
              <w:lastRenderedPageBreak/>
              <w:t xml:space="preserve">Highest grade or year </w:t>
            </w:r>
          </w:p>
          <w:p w14:paraId="19362981" w14:textId="19FF5A53" w:rsidR="00EC67C3" w:rsidRPr="000861C9" w:rsidRDefault="00EC67C3" w:rsidP="000861C9">
            <w:pPr>
              <w:pStyle w:val="ListParagraph"/>
              <w:numPr>
                <w:ilvl w:val="0"/>
                <w:numId w:val="1"/>
              </w:numPr>
              <w:ind w:left="360"/>
              <w:rPr>
                <w:sz w:val="20"/>
              </w:rPr>
            </w:pPr>
            <w:r w:rsidRPr="000861C9">
              <w:rPr>
                <w:sz w:val="20"/>
              </w:rPr>
              <w:t xml:space="preserve">Highest degree (including GED) </w:t>
            </w:r>
          </w:p>
        </w:tc>
        <w:tc>
          <w:tcPr>
            <w:tcW w:w="5130" w:type="dxa"/>
          </w:tcPr>
          <w:p w14:paraId="4DE30910" w14:textId="0A2474C1" w:rsidR="00EC67C3" w:rsidRDefault="00EC67C3" w:rsidP="00E81799">
            <w:pPr>
              <w:spacing w:after="51" w:line="248" w:lineRule="auto"/>
              <w:ind w:left="2"/>
              <w:rPr>
                <w:sz w:val="20"/>
                <w:u w:val="single" w:color="000000"/>
              </w:rPr>
            </w:pPr>
            <w:r>
              <w:rPr>
                <w:sz w:val="20"/>
              </w:rPr>
              <w:t>We assess education in terms of: 1) highest grade or year completed, including "no formal schooling," and 2) highest degree earned</w:t>
            </w:r>
            <w:r w:rsidR="00E81799">
              <w:rPr>
                <w:sz w:val="20"/>
              </w:rPr>
              <w:t xml:space="preserve">.  The latter includes </w:t>
            </w:r>
            <w:r>
              <w:rPr>
                <w:sz w:val="20"/>
              </w:rPr>
              <w:t xml:space="preserve">distinguishing GED (high school equivalency) from a high school diploma.  This enables a derived education variable that can discriminate persons at the lower end of the </w:t>
            </w:r>
            <w:r w:rsidR="00FF0D37">
              <w:rPr>
                <w:sz w:val="20"/>
              </w:rPr>
              <w:t>scale (e.g., distinguish less than 8</w:t>
            </w:r>
            <w:r w:rsidR="00FF0D37">
              <w:rPr>
                <w:sz w:val="20"/>
                <w:vertAlign w:val="superscript"/>
              </w:rPr>
              <w:t>th</w:t>
            </w:r>
            <w:r w:rsidR="00FF0D37">
              <w:rPr>
                <w:sz w:val="20"/>
              </w:rPr>
              <w:t xml:space="preserve"> grade from less than high school) and also specify milestones or credentials which tend to be more important in gaining “power” and “resources” that may be related to health.   </w:t>
            </w:r>
          </w:p>
        </w:tc>
        <w:tc>
          <w:tcPr>
            <w:tcW w:w="3060" w:type="dxa"/>
          </w:tcPr>
          <w:p w14:paraId="72C13A03" w14:textId="5A997AD7" w:rsidR="00EC67C3" w:rsidRPr="000861C9" w:rsidRDefault="00EC67C3" w:rsidP="000861C9">
            <w:pPr>
              <w:pStyle w:val="ListParagraph"/>
              <w:numPr>
                <w:ilvl w:val="0"/>
                <w:numId w:val="1"/>
              </w:numPr>
              <w:ind w:left="360"/>
              <w:rPr>
                <w:sz w:val="20"/>
              </w:rPr>
            </w:pPr>
            <w:r>
              <w:rPr>
                <w:sz w:val="20"/>
              </w:rPr>
              <w:t xml:space="preserve">Location of education </w:t>
            </w:r>
          </w:p>
          <w:p w14:paraId="79DB836A" w14:textId="4D0A6E95" w:rsidR="00EC67C3" w:rsidRPr="000861C9" w:rsidRDefault="00EC67C3" w:rsidP="000861C9">
            <w:pPr>
              <w:pStyle w:val="ListParagraph"/>
              <w:numPr>
                <w:ilvl w:val="0"/>
                <w:numId w:val="1"/>
              </w:numPr>
              <w:ind w:left="360"/>
              <w:rPr>
                <w:sz w:val="20"/>
              </w:rPr>
            </w:pPr>
            <w:r>
              <w:rPr>
                <w:sz w:val="20"/>
              </w:rPr>
              <w:t xml:space="preserve">Point in time when education obtained </w:t>
            </w:r>
          </w:p>
          <w:p w14:paraId="0BEC64CF" w14:textId="24413A39" w:rsidR="00FF0D37" w:rsidRPr="000861C9" w:rsidRDefault="00EC67C3" w:rsidP="000861C9">
            <w:pPr>
              <w:pStyle w:val="ListParagraph"/>
              <w:numPr>
                <w:ilvl w:val="0"/>
                <w:numId w:val="1"/>
              </w:numPr>
              <w:ind w:left="360"/>
              <w:rPr>
                <w:sz w:val="20"/>
              </w:rPr>
            </w:pPr>
            <w:r>
              <w:rPr>
                <w:sz w:val="20"/>
              </w:rPr>
              <w:t xml:space="preserve">Age received </w:t>
            </w:r>
            <w:r w:rsidR="00FF0D37">
              <w:rPr>
                <w:sz w:val="20"/>
              </w:rPr>
              <w:t xml:space="preserve">final education </w:t>
            </w:r>
          </w:p>
          <w:p w14:paraId="44C40E04" w14:textId="77777777" w:rsidR="00EC67C3" w:rsidRDefault="00FF0D37" w:rsidP="000861C9">
            <w:pPr>
              <w:pStyle w:val="ListParagraph"/>
              <w:numPr>
                <w:ilvl w:val="0"/>
                <w:numId w:val="1"/>
              </w:numPr>
              <w:ind w:left="360"/>
              <w:rPr>
                <w:sz w:val="20"/>
              </w:rPr>
            </w:pPr>
            <w:r>
              <w:rPr>
                <w:sz w:val="20"/>
              </w:rPr>
              <w:t>Quality of education</w:t>
            </w:r>
          </w:p>
          <w:p w14:paraId="19DF8FEE" w14:textId="23C7A4C1" w:rsidR="0010376C" w:rsidRPr="000861C9" w:rsidRDefault="0010376C" w:rsidP="000861C9">
            <w:pPr>
              <w:pStyle w:val="ListParagraph"/>
              <w:numPr>
                <w:ilvl w:val="0"/>
                <w:numId w:val="1"/>
              </w:numPr>
              <w:ind w:left="360"/>
              <w:rPr>
                <w:sz w:val="20"/>
              </w:rPr>
            </w:pPr>
            <w:r>
              <w:rPr>
                <w:sz w:val="20"/>
              </w:rPr>
              <w:t>Lifecourse education (education of parents)</w:t>
            </w:r>
          </w:p>
        </w:tc>
      </w:tr>
      <w:tr w:rsidR="00EC67C3" w14:paraId="4FDBA21E" w14:textId="77777777" w:rsidTr="002A162E">
        <w:trPr>
          <w:cantSplit/>
        </w:trPr>
        <w:tc>
          <w:tcPr>
            <w:tcW w:w="2785" w:type="dxa"/>
            <w:tcBorders>
              <w:bottom w:val="single" w:sz="4" w:space="0" w:color="auto"/>
            </w:tcBorders>
          </w:tcPr>
          <w:p w14:paraId="303CF911" w14:textId="3B66DA4E" w:rsidR="00EC67C3" w:rsidRDefault="00FF0D37" w:rsidP="008D2890">
            <w:pPr>
              <w:pStyle w:val="ListParagraph"/>
              <w:numPr>
                <w:ilvl w:val="0"/>
                <w:numId w:val="2"/>
              </w:numPr>
              <w:rPr>
                <w:rFonts w:ascii="Arial" w:eastAsia="Arial" w:hAnsi="Arial" w:cs="Arial"/>
                <w:sz w:val="20"/>
              </w:rPr>
            </w:pPr>
            <w:r>
              <w:rPr>
                <w:sz w:val="20"/>
              </w:rPr>
              <w:t>Vocational or technical training</w:t>
            </w:r>
          </w:p>
        </w:tc>
        <w:tc>
          <w:tcPr>
            <w:tcW w:w="5130" w:type="dxa"/>
            <w:tcBorders>
              <w:bottom w:val="single" w:sz="4" w:space="0" w:color="auto"/>
            </w:tcBorders>
          </w:tcPr>
          <w:p w14:paraId="2E2BCC8E" w14:textId="01A774D3" w:rsidR="00EC67C3" w:rsidRDefault="00EC67C3" w:rsidP="000861C9">
            <w:pPr>
              <w:rPr>
                <w:sz w:val="20"/>
              </w:rPr>
            </w:pPr>
            <w:r>
              <w:rPr>
                <w:sz w:val="20"/>
              </w:rPr>
              <w:t xml:space="preserve">We assess vocational or technical training separately including number of years, kind (write in), and whether a certificate of completion was obtained.  This enables research into whether vocational/technical/trade school is associated with health benefits that are equivalent to academic degrees.  We recommend providing some examples in the early testing phases of these questions (e.g., beauty school, health aide).    </w:t>
            </w:r>
          </w:p>
        </w:tc>
        <w:tc>
          <w:tcPr>
            <w:tcW w:w="3060" w:type="dxa"/>
            <w:tcBorders>
              <w:bottom w:val="single" w:sz="4" w:space="0" w:color="auto"/>
            </w:tcBorders>
          </w:tcPr>
          <w:p w14:paraId="61533315" w14:textId="78450C0E" w:rsidR="00EC67C3" w:rsidRDefault="00EC67C3" w:rsidP="001A1742">
            <w:pPr>
              <w:spacing w:line="243" w:lineRule="auto"/>
              <w:ind w:left="222" w:hanging="96"/>
              <w:rPr>
                <w:rFonts w:ascii="Arial" w:eastAsia="Arial" w:hAnsi="Arial" w:cs="Arial"/>
                <w:sz w:val="20"/>
              </w:rPr>
            </w:pPr>
            <w:r>
              <w:rPr>
                <w:sz w:val="20"/>
              </w:rPr>
              <w:t xml:space="preserve"> </w:t>
            </w:r>
          </w:p>
        </w:tc>
      </w:tr>
      <w:tr w:rsidR="002A162E" w:rsidRPr="002A162E" w14:paraId="2E5BC7C5" w14:textId="77777777" w:rsidTr="002A162E">
        <w:trPr>
          <w:cantSplit/>
        </w:trPr>
        <w:tc>
          <w:tcPr>
            <w:tcW w:w="10975" w:type="dxa"/>
            <w:gridSpan w:val="3"/>
            <w:shd w:val="clear" w:color="auto" w:fill="E7E6E6" w:themeFill="background2"/>
          </w:tcPr>
          <w:p w14:paraId="1A183952" w14:textId="3F832DDB" w:rsidR="002A162E" w:rsidRPr="00EC67C3" w:rsidRDefault="002A162E" w:rsidP="002A162E">
            <w:pPr>
              <w:spacing w:before="60" w:after="60"/>
              <w:rPr>
                <w:b/>
                <w:sz w:val="24"/>
                <w:szCs w:val="24"/>
              </w:rPr>
            </w:pPr>
            <w:r w:rsidRPr="00EC67C3">
              <w:rPr>
                <w:b/>
                <w:sz w:val="24"/>
                <w:szCs w:val="24"/>
              </w:rPr>
              <w:t>Family and</w:t>
            </w:r>
            <w:r>
              <w:rPr>
                <w:b/>
                <w:sz w:val="24"/>
                <w:szCs w:val="24"/>
              </w:rPr>
              <w:t xml:space="preserve"> H</w:t>
            </w:r>
            <w:r w:rsidRPr="00EC67C3">
              <w:rPr>
                <w:b/>
                <w:sz w:val="24"/>
                <w:szCs w:val="24"/>
              </w:rPr>
              <w:t xml:space="preserve">ousehold </w:t>
            </w:r>
            <w:r>
              <w:rPr>
                <w:b/>
                <w:sz w:val="24"/>
                <w:szCs w:val="24"/>
              </w:rPr>
              <w:t>C</w:t>
            </w:r>
            <w:r w:rsidRPr="00EC67C3">
              <w:rPr>
                <w:b/>
                <w:sz w:val="24"/>
                <w:szCs w:val="24"/>
              </w:rPr>
              <w:t>onfiguration</w:t>
            </w:r>
          </w:p>
        </w:tc>
      </w:tr>
      <w:tr w:rsidR="00EC67C3" w14:paraId="078F7267" w14:textId="77777777" w:rsidTr="002A162E">
        <w:trPr>
          <w:cantSplit/>
        </w:trPr>
        <w:tc>
          <w:tcPr>
            <w:tcW w:w="2785" w:type="dxa"/>
            <w:tcBorders>
              <w:bottom w:val="single" w:sz="4" w:space="0" w:color="auto"/>
            </w:tcBorders>
          </w:tcPr>
          <w:p w14:paraId="0CDA82F6" w14:textId="160A8C9D" w:rsidR="00EC67C3" w:rsidRPr="000861C9" w:rsidRDefault="00EC67C3" w:rsidP="008D2890">
            <w:pPr>
              <w:pStyle w:val="ListParagraph"/>
              <w:numPr>
                <w:ilvl w:val="0"/>
                <w:numId w:val="2"/>
              </w:numPr>
              <w:rPr>
                <w:sz w:val="20"/>
              </w:rPr>
            </w:pPr>
            <w:r>
              <w:rPr>
                <w:sz w:val="20"/>
              </w:rPr>
              <w:t xml:space="preserve">Marital status </w:t>
            </w:r>
          </w:p>
        </w:tc>
        <w:tc>
          <w:tcPr>
            <w:tcW w:w="5130" w:type="dxa"/>
            <w:tcBorders>
              <w:bottom w:val="single" w:sz="4" w:space="0" w:color="auto"/>
            </w:tcBorders>
          </w:tcPr>
          <w:p w14:paraId="35DEBE8E" w14:textId="5563EDDA" w:rsidR="00EC67C3" w:rsidRDefault="00EC67C3" w:rsidP="000861C9">
            <w:pPr>
              <w:spacing w:after="51"/>
              <w:rPr>
                <w:sz w:val="20"/>
              </w:rPr>
            </w:pPr>
            <w:r>
              <w:rPr>
                <w:sz w:val="20"/>
              </w:rPr>
              <w:t xml:space="preserve">As a starting point for determining household configuration, which can be important in terms of adjusting household income and consideration of social resources, we begin with marital status.   </w:t>
            </w:r>
          </w:p>
        </w:tc>
        <w:tc>
          <w:tcPr>
            <w:tcW w:w="3060" w:type="dxa"/>
            <w:tcBorders>
              <w:bottom w:val="single" w:sz="4" w:space="0" w:color="auto"/>
            </w:tcBorders>
          </w:tcPr>
          <w:p w14:paraId="75A8ABF8" w14:textId="6A874FDC" w:rsidR="00EC67C3" w:rsidRPr="000861C9" w:rsidRDefault="00EC67C3" w:rsidP="000861C9">
            <w:pPr>
              <w:pStyle w:val="ListParagraph"/>
              <w:numPr>
                <w:ilvl w:val="0"/>
                <w:numId w:val="1"/>
              </w:numPr>
              <w:ind w:left="360"/>
              <w:rPr>
                <w:sz w:val="20"/>
              </w:rPr>
            </w:pPr>
            <w:r>
              <w:rPr>
                <w:sz w:val="20"/>
              </w:rPr>
              <w:t xml:space="preserve">Family and household configuration  </w:t>
            </w:r>
          </w:p>
          <w:p w14:paraId="3D41275A" w14:textId="640F8D13" w:rsidR="00EC67C3" w:rsidRDefault="00EC67C3" w:rsidP="000861C9">
            <w:pPr>
              <w:pStyle w:val="ListParagraph"/>
              <w:numPr>
                <w:ilvl w:val="0"/>
                <w:numId w:val="1"/>
              </w:numPr>
              <w:ind w:left="360"/>
              <w:rPr>
                <w:sz w:val="20"/>
              </w:rPr>
            </w:pPr>
            <w:r>
              <w:rPr>
                <w:sz w:val="20"/>
              </w:rPr>
              <w:t xml:space="preserve">More than one family within a structure/home </w:t>
            </w:r>
          </w:p>
        </w:tc>
      </w:tr>
      <w:tr w:rsidR="002A162E" w:rsidRPr="002A162E" w14:paraId="690D1A88" w14:textId="77777777" w:rsidTr="002A162E">
        <w:trPr>
          <w:cantSplit/>
        </w:trPr>
        <w:tc>
          <w:tcPr>
            <w:tcW w:w="10975" w:type="dxa"/>
            <w:gridSpan w:val="3"/>
            <w:shd w:val="clear" w:color="auto" w:fill="E7E6E6" w:themeFill="background2"/>
          </w:tcPr>
          <w:p w14:paraId="139C2A3D" w14:textId="072BDB1E" w:rsidR="002A162E" w:rsidRPr="002A162E" w:rsidRDefault="002A162E" w:rsidP="002A162E">
            <w:pPr>
              <w:spacing w:before="60" w:after="60"/>
              <w:rPr>
                <w:b/>
                <w:sz w:val="24"/>
                <w:szCs w:val="24"/>
              </w:rPr>
            </w:pPr>
            <w:r w:rsidRPr="00EC67C3">
              <w:rPr>
                <w:b/>
                <w:sz w:val="24"/>
                <w:szCs w:val="24"/>
              </w:rPr>
              <w:t xml:space="preserve">Financial Status  </w:t>
            </w:r>
          </w:p>
        </w:tc>
      </w:tr>
      <w:tr w:rsidR="00EC67C3" w14:paraId="3EC8BD26" w14:textId="77777777" w:rsidTr="002A162E">
        <w:trPr>
          <w:cantSplit/>
        </w:trPr>
        <w:tc>
          <w:tcPr>
            <w:tcW w:w="2785" w:type="dxa"/>
            <w:tcBorders>
              <w:bottom w:val="single" w:sz="4" w:space="0" w:color="auto"/>
            </w:tcBorders>
          </w:tcPr>
          <w:p w14:paraId="126DC9D2" w14:textId="61E0A1E9" w:rsidR="00EC67C3" w:rsidRPr="008D2890" w:rsidRDefault="00EC67C3" w:rsidP="008D2890">
            <w:pPr>
              <w:pStyle w:val="ListParagraph"/>
              <w:numPr>
                <w:ilvl w:val="0"/>
                <w:numId w:val="2"/>
              </w:numPr>
              <w:rPr>
                <w:sz w:val="20"/>
              </w:rPr>
            </w:pPr>
            <w:r>
              <w:rPr>
                <w:sz w:val="20"/>
              </w:rPr>
              <w:t xml:space="preserve">Annual household income before taxes </w:t>
            </w:r>
          </w:p>
          <w:p w14:paraId="76B6D8AD" w14:textId="68481838" w:rsidR="00EC67C3" w:rsidRPr="008D2890" w:rsidRDefault="00EC67C3" w:rsidP="008D2890">
            <w:pPr>
              <w:pStyle w:val="ListParagraph"/>
              <w:numPr>
                <w:ilvl w:val="0"/>
                <w:numId w:val="2"/>
              </w:numPr>
              <w:rPr>
                <w:sz w:val="20"/>
              </w:rPr>
            </w:pPr>
            <w:r>
              <w:rPr>
                <w:sz w:val="20"/>
              </w:rPr>
              <w:t xml:space="preserve">Number of people supported by income </w:t>
            </w:r>
          </w:p>
        </w:tc>
        <w:tc>
          <w:tcPr>
            <w:tcW w:w="5130" w:type="dxa"/>
            <w:tcBorders>
              <w:bottom w:val="single" w:sz="4" w:space="0" w:color="auto"/>
            </w:tcBorders>
          </w:tcPr>
          <w:p w14:paraId="1CEA6862" w14:textId="77777777" w:rsidR="000861C9" w:rsidRDefault="00EC67C3" w:rsidP="000861C9">
            <w:pPr>
              <w:rPr>
                <w:sz w:val="20"/>
              </w:rPr>
            </w:pPr>
            <w:r>
              <w:rPr>
                <w:sz w:val="20"/>
              </w:rPr>
              <w:t xml:space="preserve">To reduce missing data, we ask first a single cut point question (i.e., is their income above or below some point) which people are more willing to answer, and which many respondents will know even if they do not know the exact amount.  If the cut point </w:t>
            </w:r>
            <w:proofErr w:type="gramStart"/>
            <w:r>
              <w:rPr>
                <w:sz w:val="20"/>
              </w:rPr>
              <w:t>is selected</w:t>
            </w:r>
            <w:proofErr w:type="gramEnd"/>
            <w:r>
              <w:rPr>
                <w:sz w:val="20"/>
              </w:rPr>
              <w:t xml:space="preserve"> to reflect some “lower” income point, this variable can be useful regardless of whether any other ques</w:t>
            </w:r>
            <w:r w:rsidR="00FF0D37">
              <w:rPr>
                <w:sz w:val="20"/>
              </w:rPr>
              <w:t xml:space="preserve">tions on income are answered.  </w:t>
            </w:r>
          </w:p>
          <w:p w14:paraId="63C13F4F" w14:textId="77777777" w:rsidR="000861C9" w:rsidRDefault="000861C9" w:rsidP="000861C9">
            <w:pPr>
              <w:rPr>
                <w:sz w:val="20"/>
              </w:rPr>
            </w:pPr>
          </w:p>
          <w:p w14:paraId="5FA35071" w14:textId="68EA225D" w:rsidR="00EC67C3" w:rsidRDefault="00E81799" w:rsidP="00E81799">
            <w:pPr>
              <w:rPr>
                <w:sz w:val="20"/>
              </w:rPr>
            </w:pPr>
            <w:r>
              <w:rPr>
                <w:sz w:val="20"/>
              </w:rPr>
              <w:t xml:space="preserve">We considered three issues in taking this approach.  First, </w:t>
            </w:r>
            <w:r w:rsidR="00EC67C3">
              <w:rPr>
                <w:sz w:val="20"/>
              </w:rPr>
              <w:t>it is tedious and confusing, particularly to lower SES respondents, to read/listen to a list of all possible sources of income (e.g., salary, social security, annuities, pensions, unemployment benefits, public assistance, interest/dividends, rental properties, child support, and alimony)</w:t>
            </w:r>
            <w:r>
              <w:rPr>
                <w:sz w:val="20"/>
              </w:rPr>
              <w:t xml:space="preserve">.  Second, </w:t>
            </w:r>
            <w:r w:rsidR="00EC67C3">
              <w:rPr>
                <w:sz w:val="20"/>
              </w:rPr>
              <w:t>thi</w:t>
            </w:r>
            <w:r>
              <w:rPr>
                <w:sz w:val="20"/>
              </w:rPr>
              <w:t xml:space="preserve">s problem </w:t>
            </w:r>
            <w:r w:rsidR="00EC67C3">
              <w:rPr>
                <w:sz w:val="20"/>
              </w:rPr>
              <w:t>is compounded by the need to include types of income relevant to both high and low income respondent</w:t>
            </w:r>
            <w:r>
              <w:rPr>
                <w:sz w:val="20"/>
              </w:rPr>
              <w:t xml:space="preserve">s.  Last, </w:t>
            </w:r>
            <w:r w:rsidR="00EC67C3">
              <w:rPr>
                <w:sz w:val="20"/>
              </w:rPr>
              <w:t xml:space="preserve">some sources may be offensive to lower income persons (e.g., rental properties, capital gains).  Thus, we simply ask about income received from ALL sources.   </w:t>
            </w:r>
          </w:p>
        </w:tc>
        <w:tc>
          <w:tcPr>
            <w:tcW w:w="3060" w:type="dxa"/>
            <w:tcBorders>
              <w:bottom w:val="single" w:sz="4" w:space="0" w:color="auto"/>
            </w:tcBorders>
          </w:tcPr>
          <w:p w14:paraId="550426D7" w14:textId="5A117AF6" w:rsidR="00EC67C3" w:rsidRPr="000861C9" w:rsidRDefault="00EC67C3" w:rsidP="00023107">
            <w:pPr>
              <w:pStyle w:val="ListParagraph"/>
              <w:numPr>
                <w:ilvl w:val="0"/>
                <w:numId w:val="1"/>
              </w:numPr>
              <w:ind w:left="360"/>
              <w:rPr>
                <w:sz w:val="20"/>
              </w:rPr>
            </w:pPr>
            <w:r w:rsidRPr="000861C9">
              <w:rPr>
                <w:sz w:val="20"/>
              </w:rPr>
              <w:t xml:space="preserve">Income instability </w:t>
            </w:r>
          </w:p>
          <w:p w14:paraId="1B52E21F" w14:textId="79F9AAE1" w:rsidR="00EC67C3" w:rsidRPr="000861C9" w:rsidRDefault="00EC67C3" w:rsidP="000861C9">
            <w:pPr>
              <w:pStyle w:val="ListParagraph"/>
              <w:numPr>
                <w:ilvl w:val="0"/>
                <w:numId w:val="1"/>
              </w:numPr>
              <w:ind w:left="360"/>
              <w:rPr>
                <w:sz w:val="20"/>
              </w:rPr>
            </w:pPr>
            <w:r>
              <w:rPr>
                <w:sz w:val="20"/>
              </w:rPr>
              <w:t xml:space="preserve">Wealth/assets </w:t>
            </w:r>
          </w:p>
          <w:p w14:paraId="55B974D6" w14:textId="3D083DC8" w:rsidR="00EC67C3" w:rsidRDefault="00EC67C3" w:rsidP="000861C9">
            <w:pPr>
              <w:pStyle w:val="ListParagraph"/>
              <w:numPr>
                <w:ilvl w:val="0"/>
                <w:numId w:val="1"/>
              </w:numPr>
              <w:ind w:left="360"/>
              <w:rPr>
                <w:sz w:val="20"/>
              </w:rPr>
            </w:pPr>
            <w:r>
              <w:rPr>
                <w:sz w:val="20"/>
              </w:rPr>
              <w:t xml:space="preserve">Poverty – formal receipt of assistance </w:t>
            </w:r>
          </w:p>
          <w:p w14:paraId="0036E7F1" w14:textId="048AE85B" w:rsidR="0010376C" w:rsidRPr="000861C9" w:rsidRDefault="0010376C" w:rsidP="000861C9">
            <w:pPr>
              <w:pStyle w:val="ListParagraph"/>
              <w:numPr>
                <w:ilvl w:val="0"/>
                <w:numId w:val="1"/>
              </w:numPr>
              <w:ind w:left="360"/>
              <w:rPr>
                <w:sz w:val="20"/>
              </w:rPr>
            </w:pPr>
            <w:r>
              <w:rPr>
                <w:sz w:val="20"/>
              </w:rPr>
              <w:t>Poverty – determined by cut point applied to income adjusted for family size</w:t>
            </w:r>
          </w:p>
          <w:p w14:paraId="1751F8F6" w14:textId="59855128" w:rsidR="00EC67C3" w:rsidRPr="000861C9" w:rsidRDefault="00EC67C3" w:rsidP="000861C9">
            <w:pPr>
              <w:pStyle w:val="ListParagraph"/>
              <w:numPr>
                <w:ilvl w:val="0"/>
                <w:numId w:val="1"/>
              </w:numPr>
              <w:ind w:left="360"/>
              <w:rPr>
                <w:sz w:val="20"/>
              </w:rPr>
            </w:pPr>
            <w:r>
              <w:rPr>
                <w:sz w:val="20"/>
              </w:rPr>
              <w:t xml:space="preserve">Determine how to enable respondents to answer about income in ways they think about it most accurately (weekly, monthly, or annually)  </w:t>
            </w:r>
          </w:p>
        </w:tc>
      </w:tr>
      <w:tr w:rsidR="002A162E" w:rsidRPr="00EC67C3" w14:paraId="0CC6E23A" w14:textId="77777777" w:rsidTr="002A162E">
        <w:trPr>
          <w:cantSplit/>
        </w:trPr>
        <w:tc>
          <w:tcPr>
            <w:tcW w:w="10975" w:type="dxa"/>
            <w:gridSpan w:val="3"/>
            <w:shd w:val="clear" w:color="auto" w:fill="E7E6E6" w:themeFill="background2"/>
          </w:tcPr>
          <w:p w14:paraId="58ECBACB" w14:textId="13041805" w:rsidR="002A162E" w:rsidRPr="00EC67C3" w:rsidRDefault="002A162E" w:rsidP="00EC5B80">
            <w:pPr>
              <w:spacing w:before="60" w:after="60"/>
              <w:ind w:right="189"/>
              <w:rPr>
                <w:b/>
                <w:sz w:val="24"/>
                <w:szCs w:val="24"/>
              </w:rPr>
            </w:pPr>
            <w:r w:rsidRPr="00EC67C3">
              <w:rPr>
                <w:b/>
                <w:sz w:val="24"/>
                <w:szCs w:val="24"/>
              </w:rPr>
              <w:t xml:space="preserve">Financial </w:t>
            </w:r>
            <w:r>
              <w:rPr>
                <w:b/>
                <w:sz w:val="24"/>
                <w:szCs w:val="24"/>
              </w:rPr>
              <w:t>S</w:t>
            </w:r>
            <w:r w:rsidRPr="00EC67C3">
              <w:rPr>
                <w:b/>
                <w:sz w:val="24"/>
                <w:szCs w:val="24"/>
              </w:rPr>
              <w:t xml:space="preserve">train or </w:t>
            </w:r>
            <w:r>
              <w:rPr>
                <w:b/>
                <w:sz w:val="24"/>
                <w:szCs w:val="24"/>
              </w:rPr>
              <w:t>H</w:t>
            </w:r>
            <w:r w:rsidRPr="00EC67C3">
              <w:rPr>
                <w:b/>
                <w:sz w:val="24"/>
                <w:szCs w:val="24"/>
              </w:rPr>
              <w:t>ardship</w:t>
            </w:r>
          </w:p>
        </w:tc>
      </w:tr>
      <w:tr w:rsidR="00EC67C3" w14:paraId="12755D67" w14:textId="77777777" w:rsidTr="003F7C21">
        <w:trPr>
          <w:cantSplit/>
        </w:trPr>
        <w:tc>
          <w:tcPr>
            <w:tcW w:w="2785" w:type="dxa"/>
          </w:tcPr>
          <w:p w14:paraId="6842040D" w14:textId="5C41AA06" w:rsidR="00EC67C3" w:rsidRDefault="00EC67C3" w:rsidP="008D2890">
            <w:pPr>
              <w:pStyle w:val="ListParagraph"/>
              <w:numPr>
                <w:ilvl w:val="0"/>
                <w:numId w:val="2"/>
              </w:numPr>
            </w:pPr>
            <w:r w:rsidRPr="008D2890">
              <w:rPr>
                <w:sz w:val="20"/>
              </w:rPr>
              <w:lastRenderedPageBreak/>
              <w:t xml:space="preserve">General </w:t>
            </w:r>
            <w:r w:rsidR="0010376C">
              <w:rPr>
                <w:sz w:val="20"/>
              </w:rPr>
              <w:t xml:space="preserve">or global </w:t>
            </w:r>
            <w:r w:rsidRPr="008D2890">
              <w:rPr>
                <w:sz w:val="20"/>
              </w:rPr>
              <w:t xml:space="preserve">financial strain </w:t>
            </w:r>
          </w:p>
          <w:p w14:paraId="75C5D3C1" w14:textId="5E247FD8" w:rsidR="008D2890" w:rsidRPr="008D2890" w:rsidRDefault="00EC67C3" w:rsidP="008D2890">
            <w:pPr>
              <w:pStyle w:val="ListParagraph"/>
              <w:numPr>
                <w:ilvl w:val="0"/>
                <w:numId w:val="2"/>
              </w:numPr>
              <w:rPr>
                <w:rFonts w:ascii="Arial" w:eastAsia="Arial" w:hAnsi="Arial" w:cs="Arial"/>
                <w:sz w:val="20"/>
              </w:rPr>
            </w:pPr>
            <w:r w:rsidRPr="008D2890">
              <w:rPr>
                <w:sz w:val="20"/>
              </w:rPr>
              <w:t>Basic</w:t>
            </w:r>
            <w:r w:rsidR="0010376C">
              <w:rPr>
                <w:sz w:val="20"/>
              </w:rPr>
              <w:t>s</w:t>
            </w:r>
            <w:r w:rsidRPr="008D2890">
              <w:rPr>
                <w:sz w:val="20"/>
              </w:rPr>
              <w:t xml:space="preserve"> financial strain</w:t>
            </w:r>
            <w:r w:rsidR="008D2890">
              <w:rPr>
                <w:sz w:val="20"/>
              </w:rPr>
              <w:t xml:space="preserve">, i.e., </w:t>
            </w:r>
            <w:r w:rsidRPr="008D2890">
              <w:rPr>
                <w:sz w:val="20"/>
              </w:rPr>
              <w:t xml:space="preserve">insufficient money for food, rent/house payment, utilities </w:t>
            </w:r>
            <w:r w:rsidRPr="008D2890">
              <w:rPr>
                <w:rFonts w:ascii="Arial" w:eastAsia="Arial" w:hAnsi="Arial" w:cs="Arial"/>
                <w:sz w:val="20"/>
              </w:rPr>
              <w:t xml:space="preserve"> </w:t>
            </w:r>
          </w:p>
        </w:tc>
        <w:tc>
          <w:tcPr>
            <w:tcW w:w="5130" w:type="dxa"/>
          </w:tcPr>
          <w:p w14:paraId="415987A1" w14:textId="429E4575" w:rsidR="00EC67C3" w:rsidRDefault="00EC67C3" w:rsidP="00FF0D37">
            <w:pPr>
              <w:spacing w:after="59"/>
              <w:ind w:left="2" w:right="44"/>
              <w:rPr>
                <w:sz w:val="20"/>
              </w:rPr>
            </w:pPr>
            <w:r>
              <w:rPr>
                <w:sz w:val="20"/>
              </w:rPr>
              <w:t>We have included questions about financial strain for two reasons: 1) respondents who do not know precisely their income and/or do not wish to report it may be willing to respond to questions about financial strain, and 2) we hypothesize that financial strain is more highly associated with</w:t>
            </w:r>
            <w:r w:rsidR="00FF0D37">
              <w:rPr>
                <w:sz w:val="20"/>
              </w:rPr>
              <w:t xml:space="preserve"> health problems than income.  </w:t>
            </w:r>
            <w:r>
              <w:rPr>
                <w:sz w:val="20"/>
              </w:rPr>
              <w:t xml:space="preserve">Because these are new, we included two approaches: 1) in general (not enough money to meet daily needs or monthly bills), and 2) specifically (not enough for food, rent, or utility bills).   </w:t>
            </w:r>
          </w:p>
        </w:tc>
        <w:tc>
          <w:tcPr>
            <w:tcW w:w="3060" w:type="dxa"/>
          </w:tcPr>
          <w:p w14:paraId="22B4F059" w14:textId="2627786D" w:rsidR="00EC67C3" w:rsidRDefault="00EC67C3" w:rsidP="000861C9">
            <w:pPr>
              <w:pStyle w:val="ListParagraph"/>
              <w:numPr>
                <w:ilvl w:val="0"/>
                <w:numId w:val="1"/>
              </w:numPr>
              <w:ind w:left="360"/>
              <w:rPr>
                <w:rFonts w:ascii="Arial" w:eastAsia="Arial" w:hAnsi="Arial" w:cs="Arial"/>
                <w:sz w:val="20"/>
              </w:rPr>
            </w:pPr>
            <w:r>
              <w:rPr>
                <w:sz w:val="20"/>
              </w:rPr>
              <w:t xml:space="preserve">Lifecourse financial strain </w:t>
            </w:r>
          </w:p>
        </w:tc>
      </w:tr>
      <w:tr w:rsidR="00FF0D37" w14:paraId="0F4C00BD" w14:textId="77777777" w:rsidTr="002A162E">
        <w:trPr>
          <w:cantSplit/>
        </w:trPr>
        <w:tc>
          <w:tcPr>
            <w:tcW w:w="2785" w:type="dxa"/>
            <w:tcBorders>
              <w:bottom w:val="single" w:sz="4" w:space="0" w:color="auto"/>
            </w:tcBorders>
          </w:tcPr>
          <w:p w14:paraId="5E751A55" w14:textId="7925652B" w:rsidR="00FF0D37" w:rsidRDefault="00FF0D37" w:rsidP="008D2890">
            <w:pPr>
              <w:pStyle w:val="ListParagraph"/>
              <w:numPr>
                <w:ilvl w:val="0"/>
                <w:numId w:val="2"/>
              </w:numPr>
              <w:rPr>
                <w:rFonts w:ascii="Arial" w:eastAsia="Arial" w:hAnsi="Arial" w:cs="Arial"/>
                <w:sz w:val="20"/>
              </w:rPr>
            </w:pPr>
            <w:r>
              <w:rPr>
                <w:sz w:val="20"/>
              </w:rPr>
              <w:t>Financial strain for health care, both in general and with respect to prescriptions</w:t>
            </w:r>
          </w:p>
        </w:tc>
        <w:tc>
          <w:tcPr>
            <w:tcW w:w="5130" w:type="dxa"/>
            <w:tcBorders>
              <w:bottom w:val="single" w:sz="4" w:space="0" w:color="auto"/>
            </w:tcBorders>
          </w:tcPr>
          <w:p w14:paraId="4D80274A" w14:textId="6147FF93" w:rsidR="00FF0D37" w:rsidRDefault="00FF0D37" w:rsidP="00A5051F">
            <w:pPr>
              <w:spacing w:after="59"/>
              <w:ind w:left="2" w:right="44"/>
              <w:rPr>
                <w:sz w:val="20"/>
              </w:rPr>
            </w:pPr>
            <w:r>
              <w:rPr>
                <w:sz w:val="20"/>
              </w:rPr>
              <w:t xml:space="preserve">We also assess financial strain in relation to health care (out of pocket costs), which may be directly related to health problems.  Again, we do so globally (insufficient money for medical care) and specifically (insufficient money to pay for prescription drugs, which tend to be the most expensive component of health care).    </w:t>
            </w:r>
          </w:p>
        </w:tc>
        <w:tc>
          <w:tcPr>
            <w:tcW w:w="3060" w:type="dxa"/>
            <w:tcBorders>
              <w:bottom w:val="single" w:sz="4" w:space="0" w:color="auto"/>
            </w:tcBorders>
          </w:tcPr>
          <w:p w14:paraId="374788CA" w14:textId="77777777" w:rsidR="000861C9" w:rsidRDefault="00FF0D37" w:rsidP="000861C9">
            <w:pPr>
              <w:pStyle w:val="ListParagraph"/>
              <w:numPr>
                <w:ilvl w:val="0"/>
                <w:numId w:val="1"/>
              </w:numPr>
              <w:ind w:left="360"/>
              <w:rPr>
                <w:sz w:val="20"/>
              </w:rPr>
            </w:pPr>
            <w:r>
              <w:rPr>
                <w:sz w:val="20"/>
              </w:rPr>
              <w:t>Put off medical care due to financial strain</w:t>
            </w:r>
          </w:p>
          <w:p w14:paraId="487017C0" w14:textId="72BF3821" w:rsidR="00FF0D37" w:rsidRPr="000861C9" w:rsidRDefault="00FF0D37" w:rsidP="0010376C">
            <w:pPr>
              <w:pStyle w:val="ListParagraph"/>
              <w:numPr>
                <w:ilvl w:val="0"/>
                <w:numId w:val="1"/>
              </w:numPr>
              <w:ind w:left="360"/>
              <w:rPr>
                <w:sz w:val="20"/>
              </w:rPr>
            </w:pPr>
            <w:r>
              <w:rPr>
                <w:sz w:val="20"/>
              </w:rPr>
              <w:t xml:space="preserve">Put off filling prescriptions due to financial </w:t>
            </w:r>
            <w:r w:rsidR="0010376C">
              <w:rPr>
                <w:sz w:val="20"/>
              </w:rPr>
              <w:t>strain</w:t>
            </w:r>
          </w:p>
        </w:tc>
      </w:tr>
      <w:tr w:rsidR="002A162E" w:rsidRPr="00EC67C3" w14:paraId="0880F5A0" w14:textId="77777777" w:rsidTr="002A162E">
        <w:trPr>
          <w:cantSplit/>
        </w:trPr>
        <w:tc>
          <w:tcPr>
            <w:tcW w:w="10975" w:type="dxa"/>
            <w:gridSpan w:val="3"/>
            <w:shd w:val="clear" w:color="auto" w:fill="E7E6E6" w:themeFill="background2"/>
          </w:tcPr>
          <w:p w14:paraId="5F101EF8" w14:textId="369283A7" w:rsidR="002A162E" w:rsidRPr="00EC67C3" w:rsidRDefault="002A162E" w:rsidP="00EC5B80">
            <w:pPr>
              <w:spacing w:before="60" w:after="60"/>
              <w:ind w:right="189"/>
              <w:rPr>
                <w:b/>
                <w:sz w:val="24"/>
                <w:szCs w:val="24"/>
              </w:rPr>
            </w:pPr>
            <w:r w:rsidRPr="00EC67C3">
              <w:rPr>
                <w:b/>
                <w:sz w:val="24"/>
                <w:szCs w:val="24"/>
              </w:rPr>
              <w:t xml:space="preserve">Subjective </w:t>
            </w:r>
            <w:r>
              <w:rPr>
                <w:b/>
                <w:sz w:val="24"/>
                <w:szCs w:val="24"/>
              </w:rPr>
              <w:t>S</w:t>
            </w:r>
            <w:r w:rsidRPr="00EC67C3">
              <w:rPr>
                <w:b/>
                <w:sz w:val="24"/>
                <w:szCs w:val="24"/>
              </w:rPr>
              <w:t xml:space="preserve">ocial </w:t>
            </w:r>
            <w:r>
              <w:rPr>
                <w:b/>
                <w:sz w:val="24"/>
                <w:szCs w:val="24"/>
              </w:rPr>
              <w:t>S</w:t>
            </w:r>
            <w:r w:rsidRPr="00EC67C3">
              <w:rPr>
                <w:b/>
                <w:sz w:val="24"/>
                <w:szCs w:val="24"/>
              </w:rPr>
              <w:t xml:space="preserve">tatus  </w:t>
            </w:r>
          </w:p>
        </w:tc>
      </w:tr>
      <w:tr w:rsidR="00EC67C3" w14:paraId="1F1243AF" w14:textId="77777777" w:rsidTr="002A162E">
        <w:trPr>
          <w:cantSplit/>
        </w:trPr>
        <w:tc>
          <w:tcPr>
            <w:tcW w:w="2785" w:type="dxa"/>
            <w:tcBorders>
              <w:bottom w:val="single" w:sz="4" w:space="0" w:color="auto"/>
            </w:tcBorders>
          </w:tcPr>
          <w:p w14:paraId="6169A6A0" w14:textId="563CA5F9" w:rsidR="00EC5B80" w:rsidRDefault="00EC67C3" w:rsidP="00FA7FDF">
            <w:pPr>
              <w:pStyle w:val="ListParagraph"/>
              <w:numPr>
                <w:ilvl w:val="0"/>
                <w:numId w:val="2"/>
              </w:numPr>
              <w:rPr>
                <w:rFonts w:ascii="Arial" w:eastAsia="Arial" w:hAnsi="Arial" w:cs="Arial"/>
                <w:sz w:val="20"/>
              </w:rPr>
            </w:pPr>
            <w:r>
              <w:rPr>
                <w:sz w:val="20"/>
              </w:rPr>
              <w:t>Subjective s</w:t>
            </w:r>
            <w:r w:rsidR="005E02D0">
              <w:rPr>
                <w:sz w:val="20"/>
              </w:rPr>
              <w:t>ocial s</w:t>
            </w:r>
            <w:r>
              <w:rPr>
                <w:sz w:val="20"/>
              </w:rPr>
              <w:t xml:space="preserve">tatus compared to community </w:t>
            </w:r>
          </w:p>
        </w:tc>
        <w:tc>
          <w:tcPr>
            <w:tcW w:w="5130" w:type="dxa"/>
            <w:tcBorders>
              <w:bottom w:val="single" w:sz="4" w:space="0" w:color="auto"/>
            </w:tcBorders>
          </w:tcPr>
          <w:p w14:paraId="2D2A215E" w14:textId="412CEF89" w:rsidR="0058098D" w:rsidRDefault="00EC67C3" w:rsidP="00FA7FDF">
            <w:pPr>
              <w:ind w:left="2"/>
              <w:rPr>
                <w:sz w:val="20"/>
              </w:rPr>
            </w:pPr>
            <w:r>
              <w:rPr>
                <w:sz w:val="20"/>
              </w:rPr>
              <w:t xml:space="preserve">In terms of assessing SES, there is increasing focus on perceived or subjective social status, thus we included one of the two items </w:t>
            </w:r>
            <w:r w:rsidR="0058098D">
              <w:rPr>
                <w:sz w:val="20"/>
              </w:rPr>
              <w:t xml:space="preserve">used to assess this </w:t>
            </w:r>
            <w:r>
              <w:rPr>
                <w:sz w:val="20"/>
              </w:rPr>
              <w:t xml:space="preserve">– comparing one’s social standing to others in one’s community.  </w:t>
            </w:r>
          </w:p>
        </w:tc>
        <w:tc>
          <w:tcPr>
            <w:tcW w:w="3060" w:type="dxa"/>
            <w:tcBorders>
              <w:bottom w:val="single" w:sz="4" w:space="0" w:color="auto"/>
            </w:tcBorders>
          </w:tcPr>
          <w:p w14:paraId="2D801AA5" w14:textId="0955A183" w:rsidR="00EC67C3" w:rsidRPr="000861C9" w:rsidRDefault="00EC67C3" w:rsidP="000861C9">
            <w:pPr>
              <w:pStyle w:val="ListParagraph"/>
              <w:numPr>
                <w:ilvl w:val="0"/>
                <w:numId w:val="1"/>
              </w:numPr>
              <w:ind w:left="360"/>
              <w:rPr>
                <w:sz w:val="20"/>
              </w:rPr>
            </w:pPr>
            <w:r>
              <w:rPr>
                <w:sz w:val="20"/>
              </w:rPr>
              <w:t xml:space="preserve">Subjective </w:t>
            </w:r>
            <w:r w:rsidR="005E02D0">
              <w:rPr>
                <w:sz w:val="20"/>
              </w:rPr>
              <w:t xml:space="preserve">social </w:t>
            </w:r>
            <w:r>
              <w:rPr>
                <w:sz w:val="20"/>
              </w:rPr>
              <w:t xml:space="preserve">status compared to U.S. </w:t>
            </w:r>
          </w:p>
          <w:p w14:paraId="268AF05A" w14:textId="4671BA06" w:rsidR="00EC67C3" w:rsidRPr="000861C9" w:rsidRDefault="00EC67C3" w:rsidP="000861C9">
            <w:pPr>
              <w:pStyle w:val="ListParagraph"/>
              <w:numPr>
                <w:ilvl w:val="0"/>
                <w:numId w:val="1"/>
              </w:numPr>
              <w:ind w:left="360"/>
              <w:rPr>
                <w:sz w:val="20"/>
              </w:rPr>
            </w:pPr>
            <w:r>
              <w:rPr>
                <w:sz w:val="20"/>
              </w:rPr>
              <w:t xml:space="preserve">Subjective </w:t>
            </w:r>
            <w:r w:rsidR="005E02D0">
              <w:rPr>
                <w:sz w:val="20"/>
              </w:rPr>
              <w:t xml:space="preserve">social </w:t>
            </w:r>
            <w:r>
              <w:rPr>
                <w:sz w:val="20"/>
              </w:rPr>
              <w:t xml:space="preserve">status of childhood </w:t>
            </w:r>
          </w:p>
          <w:p w14:paraId="444ED370" w14:textId="15CF3D4F" w:rsidR="00EC67C3" w:rsidRDefault="00EC67C3" w:rsidP="000861C9">
            <w:pPr>
              <w:pStyle w:val="ListParagraph"/>
              <w:numPr>
                <w:ilvl w:val="0"/>
                <w:numId w:val="1"/>
              </w:numPr>
              <w:ind w:left="360"/>
              <w:rPr>
                <w:rFonts w:ascii="Arial" w:eastAsia="Arial" w:hAnsi="Arial" w:cs="Arial"/>
                <w:sz w:val="20"/>
              </w:rPr>
            </w:pPr>
            <w:r>
              <w:rPr>
                <w:sz w:val="20"/>
              </w:rPr>
              <w:t xml:space="preserve">For immigrants: subjective social status in country of origin </w:t>
            </w:r>
          </w:p>
        </w:tc>
      </w:tr>
      <w:tr w:rsidR="002A162E" w:rsidRPr="00EC67C3" w14:paraId="1158ABB7" w14:textId="77777777" w:rsidTr="002A162E">
        <w:trPr>
          <w:cantSplit/>
        </w:trPr>
        <w:tc>
          <w:tcPr>
            <w:tcW w:w="10975" w:type="dxa"/>
            <w:gridSpan w:val="3"/>
            <w:shd w:val="clear" w:color="auto" w:fill="E7E6E6" w:themeFill="background2"/>
          </w:tcPr>
          <w:p w14:paraId="2A90D56E" w14:textId="0327E10E" w:rsidR="002A162E" w:rsidRPr="00EC67C3" w:rsidRDefault="002A162E" w:rsidP="00EC5B80">
            <w:pPr>
              <w:spacing w:before="60" w:after="60"/>
              <w:ind w:right="189"/>
              <w:rPr>
                <w:b/>
                <w:sz w:val="24"/>
                <w:szCs w:val="24"/>
              </w:rPr>
            </w:pPr>
            <w:r>
              <w:rPr>
                <w:b/>
                <w:sz w:val="24"/>
                <w:szCs w:val="24"/>
              </w:rPr>
              <w:t>T</w:t>
            </w:r>
            <w:r w:rsidRPr="00EC67C3">
              <w:rPr>
                <w:b/>
                <w:sz w:val="24"/>
                <w:szCs w:val="24"/>
              </w:rPr>
              <w:t xml:space="preserve">o be </w:t>
            </w:r>
            <w:r>
              <w:rPr>
                <w:b/>
                <w:sz w:val="24"/>
                <w:szCs w:val="24"/>
              </w:rPr>
              <w:t>Developed</w:t>
            </w:r>
          </w:p>
        </w:tc>
      </w:tr>
      <w:tr w:rsidR="00EC67C3" w14:paraId="40DA2221" w14:textId="77777777" w:rsidTr="003F7C21">
        <w:trPr>
          <w:cantSplit/>
        </w:trPr>
        <w:tc>
          <w:tcPr>
            <w:tcW w:w="2785" w:type="dxa"/>
          </w:tcPr>
          <w:p w14:paraId="7A9D2EE0" w14:textId="0956F701" w:rsidR="00EC67C3" w:rsidRPr="008D2890" w:rsidRDefault="00EC67C3" w:rsidP="008D2890">
            <w:pPr>
              <w:pStyle w:val="ListParagraph"/>
              <w:numPr>
                <w:ilvl w:val="0"/>
                <w:numId w:val="2"/>
              </w:numPr>
              <w:rPr>
                <w:sz w:val="20"/>
              </w:rPr>
            </w:pPr>
            <w:r w:rsidRPr="008D2890">
              <w:rPr>
                <w:sz w:val="20"/>
              </w:rPr>
              <w:t>Health insurance</w:t>
            </w:r>
          </w:p>
        </w:tc>
        <w:tc>
          <w:tcPr>
            <w:tcW w:w="5130" w:type="dxa"/>
          </w:tcPr>
          <w:p w14:paraId="7B1C4CE5" w14:textId="09DF89D8" w:rsidR="00EC67C3" w:rsidRDefault="00EC67C3" w:rsidP="00A5051F">
            <w:pPr>
              <w:ind w:left="2"/>
              <w:rPr>
                <w:sz w:val="20"/>
              </w:rPr>
            </w:pPr>
            <w:r>
              <w:rPr>
                <w:color w:val="FF00FF"/>
                <w:sz w:val="20"/>
              </w:rPr>
              <w:t xml:space="preserve"> </w:t>
            </w:r>
          </w:p>
        </w:tc>
        <w:tc>
          <w:tcPr>
            <w:tcW w:w="3060" w:type="dxa"/>
          </w:tcPr>
          <w:p w14:paraId="5FB7EA93" w14:textId="68ABD8C4" w:rsidR="00EC67C3" w:rsidRDefault="00EC67C3" w:rsidP="000861C9">
            <w:pPr>
              <w:pStyle w:val="ListParagraph"/>
              <w:numPr>
                <w:ilvl w:val="0"/>
                <w:numId w:val="1"/>
              </w:numPr>
              <w:ind w:left="360"/>
            </w:pPr>
            <w:r w:rsidRPr="000861C9">
              <w:rPr>
                <w:sz w:val="20"/>
              </w:rPr>
              <w:t xml:space="preserve">Any insurance </w:t>
            </w:r>
          </w:p>
          <w:p w14:paraId="2DAEF1B4" w14:textId="6A4EAC59" w:rsidR="00EC67C3" w:rsidRDefault="00EC67C3" w:rsidP="000861C9">
            <w:pPr>
              <w:pStyle w:val="ListParagraph"/>
              <w:numPr>
                <w:ilvl w:val="0"/>
                <w:numId w:val="1"/>
              </w:numPr>
              <w:ind w:left="360"/>
            </w:pPr>
            <w:r w:rsidRPr="000861C9">
              <w:rPr>
                <w:sz w:val="20"/>
              </w:rPr>
              <w:t xml:space="preserve">Type of insurance </w:t>
            </w:r>
          </w:p>
          <w:p w14:paraId="2B7B5A3D" w14:textId="43254BCD" w:rsidR="00EC67C3" w:rsidRDefault="00EC67C3" w:rsidP="000861C9">
            <w:pPr>
              <w:pStyle w:val="ListParagraph"/>
              <w:numPr>
                <w:ilvl w:val="0"/>
                <w:numId w:val="1"/>
              </w:numPr>
              <w:ind w:left="360"/>
            </w:pPr>
            <w:r w:rsidRPr="000861C9">
              <w:rPr>
                <w:sz w:val="20"/>
              </w:rPr>
              <w:t>Deductible/copay</w:t>
            </w:r>
          </w:p>
          <w:p w14:paraId="07BEE169" w14:textId="61F3DF3C" w:rsidR="00EC67C3" w:rsidRPr="000861C9" w:rsidRDefault="00EC67C3" w:rsidP="000861C9">
            <w:pPr>
              <w:pStyle w:val="ListParagraph"/>
              <w:numPr>
                <w:ilvl w:val="0"/>
                <w:numId w:val="1"/>
              </w:numPr>
              <w:ind w:left="360"/>
              <w:rPr>
                <w:rFonts w:ascii="Arial" w:eastAsia="Arial" w:hAnsi="Arial" w:cs="Arial"/>
                <w:sz w:val="20"/>
              </w:rPr>
            </w:pPr>
            <w:r w:rsidRPr="000861C9">
              <w:rPr>
                <w:sz w:val="20"/>
              </w:rPr>
              <w:t xml:space="preserve">Covered services </w:t>
            </w:r>
          </w:p>
        </w:tc>
      </w:tr>
      <w:tr w:rsidR="00EC67C3" w14:paraId="61DE43BF" w14:textId="77777777" w:rsidTr="003F7C21">
        <w:trPr>
          <w:cantSplit/>
        </w:trPr>
        <w:tc>
          <w:tcPr>
            <w:tcW w:w="2785" w:type="dxa"/>
          </w:tcPr>
          <w:p w14:paraId="195B3D7A" w14:textId="02079854" w:rsidR="00EC67C3" w:rsidRPr="008D2890" w:rsidRDefault="00EC67C3" w:rsidP="008D2890">
            <w:pPr>
              <w:pStyle w:val="ListParagraph"/>
              <w:numPr>
                <w:ilvl w:val="0"/>
                <w:numId w:val="2"/>
              </w:numPr>
              <w:rPr>
                <w:sz w:val="20"/>
              </w:rPr>
            </w:pPr>
            <w:r w:rsidRPr="008D2890">
              <w:rPr>
                <w:sz w:val="20"/>
              </w:rPr>
              <w:t xml:space="preserve">Occupation  </w:t>
            </w:r>
          </w:p>
        </w:tc>
        <w:tc>
          <w:tcPr>
            <w:tcW w:w="5130" w:type="dxa"/>
          </w:tcPr>
          <w:p w14:paraId="5C522193" w14:textId="15A19BD9" w:rsidR="00EC67C3" w:rsidRDefault="00EC67C3" w:rsidP="00A5051F">
            <w:pPr>
              <w:ind w:left="2"/>
              <w:rPr>
                <w:color w:val="FF00FF"/>
                <w:sz w:val="20"/>
              </w:rPr>
            </w:pPr>
            <w:r>
              <w:rPr>
                <w:sz w:val="20"/>
              </w:rPr>
              <w:t xml:space="preserve"> </w:t>
            </w:r>
          </w:p>
        </w:tc>
        <w:tc>
          <w:tcPr>
            <w:tcW w:w="3060" w:type="dxa"/>
          </w:tcPr>
          <w:p w14:paraId="73E494B8" w14:textId="313862D2" w:rsidR="00EC67C3" w:rsidRDefault="00EC67C3" w:rsidP="000861C9">
            <w:pPr>
              <w:pStyle w:val="ListParagraph"/>
              <w:numPr>
                <w:ilvl w:val="0"/>
                <w:numId w:val="1"/>
              </w:numPr>
              <w:ind w:left="360"/>
            </w:pPr>
            <w:r w:rsidRPr="000861C9">
              <w:rPr>
                <w:sz w:val="20"/>
              </w:rPr>
              <w:t xml:space="preserve">Current, past, and typical occupation(s) </w:t>
            </w:r>
          </w:p>
          <w:p w14:paraId="232A3C39" w14:textId="291C6C65" w:rsidR="00EC67C3" w:rsidRDefault="00EC67C3" w:rsidP="000861C9">
            <w:pPr>
              <w:pStyle w:val="ListParagraph"/>
              <w:numPr>
                <w:ilvl w:val="0"/>
                <w:numId w:val="1"/>
              </w:numPr>
              <w:ind w:left="360"/>
            </w:pPr>
            <w:r w:rsidRPr="000861C9">
              <w:rPr>
                <w:sz w:val="20"/>
              </w:rPr>
              <w:t xml:space="preserve">Occupational status </w:t>
            </w:r>
          </w:p>
          <w:p w14:paraId="26552768" w14:textId="48715536" w:rsidR="00EC67C3" w:rsidRDefault="00EC67C3" w:rsidP="000861C9">
            <w:pPr>
              <w:pStyle w:val="ListParagraph"/>
              <w:numPr>
                <w:ilvl w:val="0"/>
                <w:numId w:val="1"/>
              </w:numPr>
              <w:ind w:left="360"/>
            </w:pPr>
            <w:r w:rsidRPr="000861C9">
              <w:rPr>
                <w:sz w:val="20"/>
              </w:rPr>
              <w:t xml:space="preserve">Occupational exposure to toxins </w:t>
            </w:r>
          </w:p>
          <w:p w14:paraId="2BD58C4F" w14:textId="02696078" w:rsidR="00EC67C3" w:rsidRDefault="00EC67C3" w:rsidP="000861C9">
            <w:pPr>
              <w:pStyle w:val="ListParagraph"/>
              <w:numPr>
                <w:ilvl w:val="0"/>
                <w:numId w:val="1"/>
              </w:numPr>
              <w:ind w:left="360"/>
            </w:pPr>
            <w:r w:rsidRPr="000861C9">
              <w:rPr>
                <w:sz w:val="20"/>
              </w:rPr>
              <w:t xml:space="preserve">Occupational autonomy </w:t>
            </w:r>
          </w:p>
          <w:p w14:paraId="55DEDD57" w14:textId="67E8FFC9" w:rsidR="00EC67C3" w:rsidRPr="000861C9" w:rsidRDefault="00EC67C3" w:rsidP="000861C9">
            <w:pPr>
              <w:pStyle w:val="ListParagraph"/>
              <w:numPr>
                <w:ilvl w:val="0"/>
                <w:numId w:val="1"/>
              </w:numPr>
              <w:ind w:left="360"/>
              <w:rPr>
                <w:rFonts w:ascii="Arial" w:eastAsia="Arial" w:hAnsi="Arial" w:cs="Arial"/>
                <w:sz w:val="20"/>
              </w:rPr>
            </w:pPr>
            <w:r w:rsidRPr="000861C9">
              <w:rPr>
                <w:sz w:val="20"/>
              </w:rPr>
              <w:t>Occupational safety (% job</w:t>
            </w:r>
            <w:r w:rsidR="00FF0D37" w:rsidRPr="000861C9">
              <w:rPr>
                <w:sz w:val="20"/>
              </w:rPr>
              <w:t>-</w:t>
            </w:r>
            <w:r w:rsidRPr="000861C9">
              <w:rPr>
                <w:sz w:val="20"/>
              </w:rPr>
              <w:t xml:space="preserve">related injuries by occupation) </w:t>
            </w:r>
          </w:p>
        </w:tc>
      </w:tr>
      <w:tr w:rsidR="00EC67C3" w14:paraId="547FA112" w14:textId="77777777" w:rsidTr="003F7C21">
        <w:trPr>
          <w:cantSplit/>
        </w:trPr>
        <w:tc>
          <w:tcPr>
            <w:tcW w:w="2785" w:type="dxa"/>
          </w:tcPr>
          <w:p w14:paraId="24B87518" w14:textId="4DFD4BEF" w:rsidR="00EC67C3" w:rsidRDefault="00EC67C3" w:rsidP="008D2890">
            <w:pPr>
              <w:pStyle w:val="ListParagraph"/>
              <w:numPr>
                <w:ilvl w:val="0"/>
                <w:numId w:val="2"/>
              </w:numPr>
              <w:rPr>
                <w:sz w:val="20"/>
              </w:rPr>
            </w:pPr>
            <w:r>
              <w:rPr>
                <w:sz w:val="20"/>
              </w:rPr>
              <w:t>Employment</w:t>
            </w:r>
          </w:p>
        </w:tc>
        <w:tc>
          <w:tcPr>
            <w:tcW w:w="5130" w:type="dxa"/>
          </w:tcPr>
          <w:p w14:paraId="5370D416" w14:textId="72F5DBEF" w:rsidR="00EC67C3" w:rsidRDefault="00EC67C3" w:rsidP="00A5051F">
            <w:pPr>
              <w:ind w:left="2"/>
              <w:rPr>
                <w:sz w:val="20"/>
              </w:rPr>
            </w:pPr>
            <w:r>
              <w:rPr>
                <w:sz w:val="20"/>
              </w:rPr>
              <w:t xml:space="preserve"> </w:t>
            </w:r>
          </w:p>
        </w:tc>
        <w:tc>
          <w:tcPr>
            <w:tcW w:w="3060" w:type="dxa"/>
          </w:tcPr>
          <w:p w14:paraId="5D034DF8" w14:textId="3861FF2A" w:rsidR="00EC67C3" w:rsidRPr="000861C9" w:rsidRDefault="00EC67C3" w:rsidP="000861C9">
            <w:pPr>
              <w:pStyle w:val="ListParagraph"/>
              <w:numPr>
                <w:ilvl w:val="0"/>
                <w:numId w:val="1"/>
              </w:numPr>
              <w:ind w:left="360"/>
              <w:rPr>
                <w:sz w:val="20"/>
              </w:rPr>
            </w:pPr>
            <w:r>
              <w:rPr>
                <w:sz w:val="20"/>
              </w:rPr>
              <w:t xml:space="preserve">Employed (full time, part time, out of work) </w:t>
            </w:r>
          </w:p>
          <w:p w14:paraId="62D2FD88" w14:textId="2286C58D" w:rsidR="00EC67C3" w:rsidRPr="000861C9" w:rsidRDefault="00EC67C3" w:rsidP="000861C9">
            <w:pPr>
              <w:pStyle w:val="ListParagraph"/>
              <w:numPr>
                <w:ilvl w:val="0"/>
                <w:numId w:val="1"/>
              </w:numPr>
              <w:ind w:left="360"/>
              <w:rPr>
                <w:sz w:val="20"/>
              </w:rPr>
            </w:pPr>
            <w:r>
              <w:rPr>
                <w:sz w:val="20"/>
              </w:rPr>
              <w:t xml:space="preserve">Number of jobs </w:t>
            </w:r>
          </w:p>
          <w:p w14:paraId="53552D76" w14:textId="27557D27" w:rsidR="00EC67C3" w:rsidRPr="000861C9" w:rsidRDefault="00EC67C3" w:rsidP="000861C9">
            <w:pPr>
              <w:pStyle w:val="ListParagraph"/>
              <w:numPr>
                <w:ilvl w:val="0"/>
                <w:numId w:val="1"/>
              </w:numPr>
              <w:ind w:left="360"/>
              <w:rPr>
                <w:sz w:val="20"/>
              </w:rPr>
            </w:pPr>
            <w:r>
              <w:rPr>
                <w:sz w:val="20"/>
              </w:rPr>
              <w:t xml:space="preserve">Employment schedule (days, nights, erratic/stable) </w:t>
            </w:r>
          </w:p>
          <w:p w14:paraId="05BDE6A8" w14:textId="15AF0D39" w:rsidR="00EC67C3" w:rsidRPr="000861C9" w:rsidRDefault="00EC67C3" w:rsidP="000861C9">
            <w:pPr>
              <w:pStyle w:val="ListParagraph"/>
              <w:numPr>
                <w:ilvl w:val="0"/>
                <w:numId w:val="1"/>
              </w:numPr>
              <w:ind w:left="360"/>
              <w:rPr>
                <w:sz w:val="20"/>
              </w:rPr>
            </w:pPr>
            <w:r>
              <w:rPr>
                <w:sz w:val="20"/>
              </w:rPr>
              <w:t xml:space="preserve">Employment stability </w:t>
            </w:r>
          </w:p>
          <w:p w14:paraId="2A853CF1" w14:textId="779B0531" w:rsidR="00EC67C3" w:rsidRPr="000861C9" w:rsidRDefault="00EC67C3" w:rsidP="000861C9">
            <w:pPr>
              <w:pStyle w:val="ListParagraph"/>
              <w:numPr>
                <w:ilvl w:val="0"/>
                <w:numId w:val="1"/>
              </w:numPr>
              <w:ind w:left="360"/>
              <w:rPr>
                <w:sz w:val="20"/>
              </w:rPr>
            </w:pPr>
            <w:r>
              <w:rPr>
                <w:sz w:val="20"/>
              </w:rPr>
              <w:t xml:space="preserve">Retired/disabled (not in the job market) </w:t>
            </w:r>
          </w:p>
        </w:tc>
      </w:tr>
    </w:tbl>
    <w:p w14:paraId="58BB68DC" w14:textId="77777777" w:rsidR="004805E7" w:rsidRDefault="005763FF" w:rsidP="00503B19">
      <w:pPr>
        <w:spacing w:after="0"/>
      </w:pPr>
      <w:r>
        <w:rPr>
          <w:rFonts w:ascii="Times New Roman" w:eastAsia="Times New Roman" w:hAnsi="Times New Roman" w:cs="Times New Roman"/>
          <w:sz w:val="20"/>
        </w:rPr>
        <w:t xml:space="preserve"> </w:t>
      </w:r>
    </w:p>
    <w:sectPr w:rsidR="004805E7">
      <w:footerReference w:type="even" r:id="rId7"/>
      <w:footerReference w:type="default" r:id="rId8"/>
      <w:footerReference w:type="first" r:id="rId9"/>
      <w:pgSz w:w="12240" w:h="15840"/>
      <w:pgMar w:top="994" w:right="492" w:bottom="1589" w:left="720" w:header="720" w:footer="71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9BB8E" w16cid:durableId="201FA7BB"/>
  <w16cid:commentId w16cid:paraId="092D2329" w16cid:durableId="201FA7A2"/>
  <w16cid:commentId w16cid:paraId="23AA96F1" w16cid:durableId="201FA7D9"/>
  <w16cid:commentId w16cid:paraId="626D541F" w16cid:durableId="201FA824"/>
  <w16cid:commentId w16cid:paraId="1741086C" w16cid:durableId="201FA96A"/>
  <w16cid:commentId w16cid:paraId="5685364A" w16cid:durableId="201FAD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EC60" w14:textId="77777777" w:rsidR="00C33BC6" w:rsidRDefault="00C33BC6">
      <w:pPr>
        <w:spacing w:after="0" w:line="240" w:lineRule="auto"/>
      </w:pPr>
      <w:r>
        <w:separator/>
      </w:r>
    </w:p>
  </w:endnote>
  <w:endnote w:type="continuationSeparator" w:id="0">
    <w:p w14:paraId="1274957E" w14:textId="77777777" w:rsidR="00C33BC6" w:rsidRDefault="00C3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AD07" w14:textId="77777777" w:rsidR="004805E7" w:rsidRDefault="005763FF">
    <w:pPr>
      <w:tabs>
        <w:tab w:val="center" w:pos="5221"/>
        <w:tab w:val="right" w:pos="11028"/>
      </w:tabs>
      <w:spacing w:after="0"/>
    </w:pPr>
    <w:r>
      <w:tab/>
    </w:r>
    <w:r>
      <w:rPr>
        <w:sz w:val="16"/>
      </w:rPr>
      <w:t xml:space="preserve">Center for Aging in Diverse Communities, Measurement Core </w:t>
    </w:r>
    <w:r>
      <w:rPr>
        <w:sz w:val="16"/>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6EDEBBD" w14:textId="77777777" w:rsidR="004805E7" w:rsidRDefault="005763FF">
    <w:pPr>
      <w:spacing w:after="0"/>
      <w:ind w:right="229"/>
      <w:jc w:val="center"/>
    </w:pPr>
    <w:r>
      <w:rPr>
        <w:sz w:val="16"/>
      </w:rPr>
      <w:t xml:space="preserve">University of California, San Francisco </w:t>
    </w:r>
  </w:p>
  <w:p w14:paraId="307997CA" w14:textId="77777777" w:rsidR="004805E7" w:rsidRDefault="005763FF">
    <w:pPr>
      <w:spacing w:after="0" w:line="238" w:lineRule="auto"/>
      <w:ind w:left="2297" w:right="2473"/>
      <w:jc w:val="center"/>
    </w:pPr>
    <w:r>
      <w:rPr>
        <w:noProof/>
      </w:rPr>
      <w:drawing>
        <wp:anchor distT="0" distB="0" distL="114300" distR="114300" simplePos="0" relativeHeight="251658240" behindDoc="1" locked="0" layoutInCell="1" allowOverlap="0" wp14:anchorId="6A9F94E1" wp14:editId="071F7ABF">
          <wp:simplePos x="0" y="0"/>
          <wp:positionH relativeFrom="page">
            <wp:posOffset>3448812</wp:posOffset>
          </wp:positionH>
          <wp:positionV relativeFrom="page">
            <wp:posOffset>9136387</wp:posOffset>
          </wp:positionV>
          <wp:extent cx="876300" cy="408432"/>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6300" cy="408432"/>
                  </a:xfrm>
                  <a:prstGeom prst="rect">
                    <a:avLst/>
                  </a:prstGeom>
                </pic:spPr>
              </pic:pic>
            </a:graphicData>
          </a:graphic>
        </wp:anchor>
      </w:drawing>
    </w:r>
    <w:r>
      <w:rPr>
        <w:color w:val="0000FF"/>
        <w:sz w:val="16"/>
        <w:u w:val="single" w:color="0000FF"/>
      </w:rPr>
      <w:t>http://medicine.ucsf.edu/cadc/cores/measurement/index.html</w:t>
    </w:r>
    <w:r>
      <w:rPr>
        <w:sz w:val="16"/>
      </w:rPr>
      <w:t xml:space="preserve"> Last Updated September 2006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565A" w14:textId="4315E014" w:rsidR="004805E7" w:rsidRPr="00F75546" w:rsidRDefault="005763FF" w:rsidP="001B1915">
    <w:pPr>
      <w:tabs>
        <w:tab w:val="center" w:pos="5221"/>
        <w:tab w:val="right" w:pos="11028"/>
      </w:tabs>
      <w:spacing w:after="0"/>
      <w:rPr>
        <w:sz w:val="20"/>
        <w:szCs w:val="20"/>
      </w:rPr>
    </w:pPr>
    <w:r>
      <w:tab/>
    </w:r>
    <w:r w:rsidR="00F75546" w:rsidRPr="00F75546">
      <w:rPr>
        <w:sz w:val="20"/>
        <w:szCs w:val="20"/>
      </w:rPr>
      <w:t xml:space="preserve">Prepared by Analysis Core, </w:t>
    </w:r>
    <w:r w:rsidRPr="00F75546">
      <w:rPr>
        <w:sz w:val="20"/>
        <w:szCs w:val="20"/>
      </w:rPr>
      <w:t xml:space="preserve">Center for Aging in Diverse Communities, University of California, San Francisco </w:t>
    </w:r>
  </w:p>
  <w:p w14:paraId="09B9AAB7" w14:textId="79264FC6" w:rsidR="004805E7" w:rsidRPr="00F75546" w:rsidRDefault="00C33BC6">
    <w:pPr>
      <w:spacing w:after="0" w:line="238" w:lineRule="auto"/>
      <w:ind w:left="2297" w:right="2473"/>
      <w:jc w:val="center"/>
      <w:rPr>
        <w:sz w:val="20"/>
        <w:szCs w:val="20"/>
      </w:rPr>
    </w:pPr>
    <w:hyperlink r:id="rId1" w:history="1">
      <w:r w:rsidR="00503B19" w:rsidRPr="00F75546">
        <w:rPr>
          <w:rStyle w:val="Hyperlink"/>
          <w:sz w:val="20"/>
          <w:szCs w:val="20"/>
        </w:rPr>
        <w:t>https://cadc.ucsf.edu/measures</w:t>
      </w:r>
    </w:hyperlink>
    <w:r w:rsidR="005E02D0" w:rsidRPr="00F75546">
      <w:rPr>
        <w:rStyle w:val="Hyperlink"/>
        <w:sz w:val="20"/>
        <w:szCs w:val="20"/>
      </w:rPr>
      <w:t xml:space="preserve">, </w:t>
    </w:r>
    <w:r w:rsidR="000861C9" w:rsidRPr="00F75546">
      <w:rPr>
        <w:sz w:val="20"/>
        <w:szCs w:val="20"/>
      </w:rPr>
      <w:t>March</w:t>
    </w:r>
    <w:r w:rsidR="00820ED1" w:rsidRPr="00F75546">
      <w:rPr>
        <w:sz w:val="20"/>
        <w:szCs w:val="20"/>
      </w:rPr>
      <w:t xml:space="preserve"> 2019</w:t>
    </w:r>
    <w:r w:rsidR="005763FF" w:rsidRPr="00F75546">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C113" w14:textId="77777777" w:rsidR="004805E7" w:rsidRDefault="005763FF">
    <w:pPr>
      <w:tabs>
        <w:tab w:val="center" w:pos="5221"/>
        <w:tab w:val="right" w:pos="11028"/>
      </w:tabs>
      <w:spacing w:after="0"/>
    </w:pPr>
    <w:r>
      <w:tab/>
    </w:r>
    <w:r>
      <w:rPr>
        <w:sz w:val="16"/>
      </w:rPr>
      <w:t xml:space="preserve">Center for Aging in Diverse Communities, Measurement Core </w:t>
    </w:r>
    <w:r>
      <w:rPr>
        <w:sz w:val="16"/>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BFFE64C" w14:textId="77777777" w:rsidR="004805E7" w:rsidRDefault="005763FF">
    <w:pPr>
      <w:spacing w:after="0"/>
      <w:ind w:right="229"/>
      <w:jc w:val="center"/>
    </w:pPr>
    <w:r>
      <w:rPr>
        <w:sz w:val="16"/>
      </w:rPr>
      <w:t xml:space="preserve">University of California, San Francisco </w:t>
    </w:r>
  </w:p>
  <w:p w14:paraId="1332B6C5" w14:textId="77777777" w:rsidR="004805E7" w:rsidRDefault="005763FF">
    <w:pPr>
      <w:spacing w:after="0" w:line="238" w:lineRule="auto"/>
      <w:ind w:left="2297" w:right="2473"/>
      <w:jc w:val="center"/>
    </w:pPr>
    <w:r>
      <w:rPr>
        <w:noProof/>
      </w:rPr>
      <w:drawing>
        <wp:anchor distT="0" distB="0" distL="114300" distR="114300" simplePos="0" relativeHeight="251660288" behindDoc="1" locked="0" layoutInCell="1" allowOverlap="0" wp14:anchorId="517CEC10" wp14:editId="4078FF8C">
          <wp:simplePos x="0" y="0"/>
          <wp:positionH relativeFrom="page">
            <wp:posOffset>3448812</wp:posOffset>
          </wp:positionH>
          <wp:positionV relativeFrom="page">
            <wp:posOffset>9136387</wp:posOffset>
          </wp:positionV>
          <wp:extent cx="876300" cy="40843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6300" cy="408432"/>
                  </a:xfrm>
                  <a:prstGeom prst="rect">
                    <a:avLst/>
                  </a:prstGeom>
                </pic:spPr>
              </pic:pic>
            </a:graphicData>
          </a:graphic>
        </wp:anchor>
      </w:drawing>
    </w:r>
    <w:r>
      <w:rPr>
        <w:color w:val="0000FF"/>
        <w:sz w:val="16"/>
        <w:u w:val="single" w:color="0000FF"/>
      </w:rPr>
      <w:t>http://medicine.ucsf.edu/cadc/cores/measurement/index.html</w:t>
    </w:r>
    <w:r>
      <w:rPr>
        <w:sz w:val="16"/>
      </w:rPr>
      <w:t xml:space="preserve"> Last Updated September 2006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4DC7" w14:textId="77777777" w:rsidR="00C33BC6" w:rsidRDefault="00C33BC6">
      <w:pPr>
        <w:spacing w:after="0" w:line="240" w:lineRule="auto"/>
      </w:pPr>
      <w:r>
        <w:separator/>
      </w:r>
    </w:p>
  </w:footnote>
  <w:footnote w:type="continuationSeparator" w:id="0">
    <w:p w14:paraId="45171505" w14:textId="77777777" w:rsidR="00C33BC6" w:rsidRDefault="00C3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019E3"/>
    <w:multiLevelType w:val="hybridMultilevel"/>
    <w:tmpl w:val="9958476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15:restartNumberingAfterBreak="0">
    <w:nsid w:val="75187871"/>
    <w:multiLevelType w:val="hybridMultilevel"/>
    <w:tmpl w:val="D17AC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B1947"/>
    <w:multiLevelType w:val="hybridMultilevel"/>
    <w:tmpl w:val="0F4C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E7"/>
    <w:rsid w:val="000861C9"/>
    <w:rsid w:val="000C018B"/>
    <w:rsid w:val="0010376C"/>
    <w:rsid w:val="00140217"/>
    <w:rsid w:val="00160CEA"/>
    <w:rsid w:val="001A1742"/>
    <w:rsid w:val="001B1915"/>
    <w:rsid w:val="002530A6"/>
    <w:rsid w:val="002A162E"/>
    <w:rsid w:val="002B5D02"/>
    <w:rsid w:val="002F63AF"/>
    <w:rsid w:val="003F7C21"/>
    <w:rsid w:val="00422BC9"/>
    <w:rsid w:val="004458FE"/>
    <w:rsid w:val="004805E7"/>
    <w:rsid w:val="00503B19"/>
    <w:rsid w:val="00511F0F"/>
    <w:rsid w:val="00551660"/>
    <w:rsid w:val="00564EA1"/>
    <w:rsid w:val="005763FF"/>
    <w:rsid w:val="0058098D"/>
    <w:rsid w:val="005E02D0"/>
    <w:rsid w:val="007B7466"/>
    <w:rsid w:val="007C0E76"/>
    <w:rsid w:val="00820ED1"/>
    <w:rsid w:val="00867F0B"/>
    <w:rsid w:val="008B3354"/>
    <w:rsid w:val="008D2890"/>
    <w:rsid w:val="00A04BA7"/>
    <w:rsid w:val="00A5051F"/>
    <w:rsid w:val="00B71F15"/>
    <w:rsid w:val="00C33BC6"/>
    <w:rsid w:val="00C62B18"/>
    <w:rsid w:val="00CE0C48"/>
    <w:rsid w:val="00CE2231"/>
    <w:rsid w:val="00D04342"/>
    <w:rsid w:val="00E3128C"/>
    <w:rsid w:val="00E34271"/>
    <w:rsid w:val="00E81799"/>
    <w:rsid w:val="00EB6F3C"/>
    <w:rsid w:val="00EC5B80"/>
    <w:rsid w:val="00EC67C3"/>
    <w:rsid w:val="00F75546"/>
    <w:rsid w:val="00FA7FDF"/>
    <w:rsid w:val="00FE1343"/>
    <w:rsid w:val="00FF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F050"/>
  <w15:docId w15:val="{2D1B2AB5-B0E8-4650-9B0A-77D3D885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62B18"/>
    <w:rPr>
      <w:sz w:val="16"/>
      <w:szCs w:val="16"/>
    </w:rPr>
  </w:style>
  <w:style w:type="paragraph" w:styleId="CommentText">
    <w:name w:val="annotation text"/>
    <w:basedOn w:val="Normal"/>
    <w:link w:val="CommentTextChar"/>
    <w:uiPriority w:val="99"/>
    <w:unhideWhenUsed/>
    <w:rsid w:val="00C62B18"/>
    <w:pPr>
      <w:spacing w:line="240" w:lineRule="auto"/>
    </w:pPr>
    <w:rPr>
      <w:sz w:val="20"/>
      <w:szCs w:val="20"/>
    </w:rPr>
  </w:style>
  <w:style w:type="character" w:customStyle="1" w:styleId="CommentTextChar">
    <w:name w:val="Comment Text Char"/>
    <w:basedOn w:val="DefaultParagraphFont"/>
    <w:link w:val="CommentText"/>
    <w:uiPriority w:val="99"/>
    <w:rsid w:val="00C62B1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2B18"/>
    <w:rPr>
      <w:b/>
      <w:bCs/>
    </w:rPr>
  </w:style>
  <w:style w:type="character" w:customStyle="1" w:styleId="CommentSubjectChar">
    <w:name w:val="Comment Subject Char"/>
    <w:basedOn w:val="CommentTextChar"/>
    <w:link w:val="CommentSubject"/>
    <w:uiPriority w:val="99"/>
    <w:semiHidden/>
    <w:rsid w:val="00C62B1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6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18"/>
    <w:rPr>
      <w:rFonts w:ascii="Segoe UI" w:eastAsia="Calibri" w:hAnsi="Segoe UI" w:cs="Segoe UI"/>
      <w:color w:val="000000"/>
      <w:sz w:val="18"/>
      <w:szCs w:val="18"/>
    </w:rPr>
  </w:style>
  <w:style w:type="paragraph" w:styleId="Header">
    <w:name w:val="header"/>
    <w:basedOn w:val="Normal"/>
    <w:link w:val="HeaderChar"/>
    <w:uiPriority w:val="99"/>
    <w:unhideWhenUsed/>
    <w:rsid w:val="0082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ED1"/>
    <w:rPr>
      <w:rFonts w:ascii="Calibri" w:eastAsia="Calibri" w:hAnsi="Calibri" w:cs="Calibri"/>
      <w:color w:val="000000"/>
    </w:rPr>
  </w:style>
  <w:style w:type="character" w:styleId="Hyperlink">
    <w:name w:val="Hyperlink"/>
    <w:basedOn w:val="DefaultParagraphFont"/>
    <w:uiPriority w:val="99"/>
    <w:unhideWhenUsed/>
    <w:rsid w:val="00503B19"/>
    <w:rPr>
      <w:color w:val="0563C1" w:themeColor="hyperlink"/>
      <w:u w:val="single"/>
    </w:rPr>
  </w:style>
  <w:style w:type="paragraph" w:styleId="ListParagraph">
    <w:name w:val="List Paragraph"/>
    <w:basedOn w:val="Normal"/>
    <w:uiPriority w:val="34"/>
    <w:qFormat/>
    <w:rsid w:val="001A1742"/>
    <w:pPr>
      <w:ind w:left="720"/>
      <w:contextualSpacing/>
    </w:pPr>
  </w:style>
  <w:style w:type="table" w:styleId="TableGrid0">
    <w:name w:val="Table Grid"/>
    <w:basedOn w:val="TableNormal"/>
    <w:uiPriority w:val="39"/>
    <w:rsid w:val="001A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hyperlink" Target="https://cadc.ucsf.edu/measur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Rationale for SES measures_10.6.06.doc</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Rationale for SES measures_10.6.06.doc</dc:title>
  <dc:subject/>
  <dc:creator>Helen O'Brian</dc:creator>
  <cp:keywords/>
  <cp:lastModifiedBy>Stewart, Anita</cp:lastModifiedBy>
  <cp:revision>3</cp:revision>
  <cp:lastPrinted>2019-03-10T19:58:00Z</cp:lastPrinted>
  <dcterms:created xsi:type="dcterms:W3CDTF">2019-03-30T21:28:00Z</dcterms:created>
  <dcterms:modified xsi:type="dcterms:W3CDTF">2019-03-30T21:32:00Z</dcterms:modified>
</cp:coreProperties>
</file>